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131F" w:rsidRDefault="00DB131F">
      <w:pPr>
        <w:spacing w:after="0"/>
        <w:ind w:left="403" w:right="0" w:firstLine="0"/>
        <w:rPr>
          <w:rFonts w:ascii="仿宋" w:eastAsia="仿宋" w:hAnsi="仿宋" w:cs="FZXiaoBiaoSong-B05S"/>
          <w:b/>
          <w:color w:val="auto"/>
          <w:szCs w:val="32"/>
        </w:rPr>
      </w:pPr>
      <w:r w:rsidRPr="00DB131F">
        <w:rPr>
          <w:rFonts w:ascii="仿宋" w:eastAsia="仿宋" w:hAnsi="仿宋" w:cs="FZXiaoBiaoSong-B05S" w:hint="eastAsia"/>
          <w:b/>
          <w:color w:val="auto"/>
          <w:szCs w:val="32"/>
        </w:rPr>
        <w:t>附件9.2:</w:t>
      </w:r>
    </w:p>
    <w:p w:rsidR="00183633" w:rsidRPr="00DB131F" w:rsidRDefault="00183633">
      <w:pPr>
        <w:spacing w:after="0"/>
        <w:ind w:left="403" w:right="0" w:firstLine="0"/>
        <w:rPr>
          <w:rFonts w:ascii="仿宋" w:eastAsia="仿宋" w:hAnsi="仿宋" w:cs="FZXiaoBiaoSong-B05S"/>
          <w:b/>
          <w:color w:val="auto"/>
          <w:szCs w:val="32"/>
        </w:rPr>
      </w:pPr>
      <w:bookmarkStart w:id="0" w:name="_GoBack"/>
      <w:bookmarkEnd w:id="0"/>
    </w:p>
    <w:p w:rsidR="005A644E" w:rsidRPr="003F0DC5" w:rsidRDefault="00073023">
      <w:pPr>
        <w:spacing w:after="0"/>
        <w:ind w:left="403" w:right="0" w:firstLine="0"/>
        <w:rPr>
          <w:sz w:val="96"/>
          <w:szCs w:val="96"/>
        </w:rPr>
      </w:pPr>
      <w:r w:rsidRPr="003F0DC5">
        <w:rPr>
          <w:rFonts w:ascii="FZXiaoBiaoSong-B05S" w:eastAsia="FZXiaoBiaoSong-B05S" w:hAnsi="FZXiaoBiaoSong-B05S" w:cs="FZXiaoBiaoSong-B05S"/>
          <w:color w:val="FF0000"/>
          <w:sz w:val="96"/>
          <w:szCs w:val="96"/>
        </w:rPr>
        <w:t xml:space="preserve">山东理工大学文件 </w:t>
      </w:r>
    </w:p>
    <w:p w:rsidR="005A644E" w:rsidRDefault="00073023" w:rsidP="00183633">
      <w:pPr>
        <w:spacing w:after="423"/>
        <w:ind w:left="0" w:right="35" w:firstLine="0"/>
        <w:jc w:val="center"/>
      </w:pPr>
      <w:r>
        <w:t xml:space="preserve">鲁理工大政发〔2017〕142号 </w:t>
      </w:r>
    </w:p>
    <w:p w:rsidR="005A644E" w:rsidRDefault="00073023">
      <w:pPr>
        <w:spacing w:after="78"/>
        <w:ind w:left="-6" w:right="194" w:firstLine="0"/>
        <w:jc w:val="center"/>
      </w:pPr>
      <w:r>
        <w:rPr>
          <w:rFonts w:ascii="Calibri" w:eastAsia="Calibri" w:hAnsi="Calibri" w:cs="Calibri"/>
          <w:noProof/>
          <w:sz w:val="22"/>
        </w:rPr>
        <mc:AlternateContent>
          <mc:Choice Requires="wpg">
            <w:drawing>
              <wp:inline distT="0" distB="0" distL="0" distR="0">
                <wp:extent cx="5598795" cy="15875"/>
                <wp:effectExtent l="0" t="0" r="0" b="0"/>
                <wp:docPr id="2271" name="Group 2271"/>
                <wp:cNvGraphicFramePr/>
                <a:graphic xmlns:a="http://schemas.openxmlformats.org/drawingml/2006/main">
                  <a:graphicData uri="http://schemas.microsoft.com/office/word/2010/wordprocessingGroup">
                    <wpg:wgp>
                      <wpg:cNvGrpSpPr/>
                      <wpg:grpSpPr>
                        <a:xfrm>
                          <a:off x="0" y="0"/>
                          <a:ext cx="5598795" cy="15875"/>
                          <a:chOff x="0" y="0"/>
                          <a:chExt cx="5598795" cy="15875"/>
                        </a:xfrm>
                      </wpg:grpSpPr>
                      <wps:wsp>
                        <wps:cNvPr id="57" name="Shape 57"/>
                        <wps:cNvSpPr/>
                        <wps:spPr>
                          <a:xfrm>
                            <a:off x="0" y="0"/>
                            <a:ext cx="5598795" cy="0"/>
                          </a:xfrm>
                          <a:custGeom>
                            <a:avLst/>
                            <a:gdLst/>
                            <a:ahLst/>
                            <a:cxnLst/>
                            <a:rect l="0" t="0" r="0" b="0"/>
                            <a:pathLst>
                              <a:path w="5598795">
                                <a:moveTo>
                                  <a:pt x="0" y="0"/>
                                </a:moveTo>
                                <a:lnTo>
                                  <a:pt x="5598795" y="0"/>
                                </a:lnTo>
                              </a:path>
                            </a:pathLst>
                          </a:custGeom>
                          <a:ln w="15875" cap="flat">
                            <a:round/>
                          </a:ln>
                        </wps:spPr>
                        <wps:style>
                          <a:lnRef idx="1">
                            <a:srgbClr val="FF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271" style="width:440.85pt;height:1.25pt;mso-position-horizontal-relative:char;mso-position-vertical-relative:line" coordsize="55987,158">
                <v:shape id="Shape 57" style="position:absolute;width:55987;height:0;left:0;top:0;" coordsize="5598795,0" path="m0,0l5598795,0">
                  <v:stroke weight="1.25pt" endcap="flat" joinstyle="round" on="true" color="#ff0000"/>
                  <v:fill on="false" color="#000000" opacity="0"/>
                </v:shape>
              </v:group>
            </w:pict>
          </mc:Fallback>
        </mc:AlternateContent>
      </w:r>
      <w:r>
        <w:rPr>
          <w:rFonts w:ascii="SimSun-PUA" w:eastAsia="SimSun-PUA" w:hAnsi="SimSun-PUA" w:cs="SimSun-PUA"/>
          <w:sz w:val="44"/>
        </w:rPr>
        <w:t xml:space="preserve"> </w:t>
      </w:r>
    </w:p>
    <w:p w:rsidR="005A644E" w:rsidRDefault="00073023">
      <w:pPr>
        <w:spacing w:after="30"/>
        <w:ind w:left="58" w:right="0" w:firstLine="0"/>
        <w:jc w:val="center"/>
      </w:pPr>
      <w:r>
        <w:rPr>
          <w:rFonts w:ascii="SimSun-PUA" w:eastAsia="SimSun-PUA" w:hAnsi="SimSun-PUA" w:cs="SimSun-PUA"/>
          <w:sz w:val="44"/>
        </w:rPr>
        <w:t xml:space="preserve"> </w:t>
      </w:r>
    </w:p>
    <w:p w:rsidR="003F0DC5" w:rsidRDefault="00073023" w:rsidP="003F0DC5">
      <w:pPr>
        <w:pStyle w:val="1"/>
        <w:ind w:left="0" w:firstLine="0"/>
        <w:rPr>
          <w:rFonts w:ascii="宋体" w:eastAsia="宋体" w:hAnsi="宋体" w:cs="宋体"/>
          <w:sz w:val="40"/>
          <w:szCs w:val="40"/>
        </w:rPr>
      </w:pPr>
      <w:r w:rsidRPr="003F0DC5">
        <w:rPr>
          <w:rFonts w:ascii="宋体" w:eastAsia="宋体" w:hAnsi="宋体" w:cs="宋体" w:hint="eastAsia"/>
          <w:sz w:val="40"/>
          <w:szCs w:val="40"/>
        </w:rPr>
        <w:t>关于印发</w:t>
      </w:r>
      <w:proofErr w:type="gramStart"/>
      <w:r w:rsidRPr="003F0DC5">
        <w:rPr>
          <w:rFonts w:ascii="宋体" w:eastAsia="宋体" w:hAnsi="宋体" w:cs="宋体" w:hint="eastAsia"/>
          <w:sz w:val="40"/>
          <w:szCs w:val="40"/>
        </w:rPr>
        <w:t>《</w:t>
      </w:r>
      <w:proofErr w:type="gramEnd"/>
      <w:r w:rsidRPr="003F0DC5">
        <w:rPr>
          <w:rFonts w:ascii="宋体" w:eastAsia="宋体" w:hAnsi="宋体" w:cs="宋体" w:hint="eastAsia"/>
          <w:sz w:val="40"/>
          <w:szCs w:val="40"/>
        </w:rPr>
        <w:t>山东理工大学专业技术职务晋升聘用</w:t>
      </w:r>
    </w:p>
    <w:p w:rsidR="005A644E" w:rsidRPr="003F0DC5" w:rsidRDefault="00073023" w:rsidP="003F0DC5">
      <w:pPr>
        <w:pStyle w:val="1"/>
        <w:ind w:left="0" w:firstLine="0"/>
        <w:rPr>
          <w:sz w:val="40"/>
          <w:szCs w:val="40"/>
        </w:rPr>
      </w:pPr>
      <w:r w:rsidRPr="003F0DC5">
        <w:rPr>
          <w:rFonts w:ascii="宋体" w:eastAsia="宋体" w:hAnsi="宋体" w:cs="宋体" w:hint="eastAsia"/>
          <w:sz w:val="40"/>
          <w:szCs w:val="40"/>
        </w:rPr>
        <w:t>办法补充规定》的通知</w:t>
      </w:r>
    </w:p>
    <w:p w:rsidR="005A644E" w:rsidRDefault="00073023">
      <w:pPr>
        <w:spacing w:after="264"/>
        <w:ind w:left="0" w:right="0" w:firstLine="0"/>
      </w:pPr>
      <w:r>
        <w:rPr>
          <w:rFonts w:ascii="SimSun-PUA" w:eastAsia="SimSun-PUA" w:hAnsi="SimSun-PUA" w:cs="SimSun-PUA"/>
          <w:sz w:val="24"/>
        </w:rPr>
        <w:t xml:space="preserve"> </w:t>
      </w:r>
    </w:p>
    <w:p w:rsidR="005A644E" w:rsidRDefault="00073023">
      <w:pPr>
        <w:ind w:right="0"/>
      </w:pPr>
      <w:r>
        <w:t xml:space="preserve">各学院、研究院，校行政各部门、各直属单位，经济与管理学部： </w:t>
      </w:r>
    </w:p>
    <w:p w:rsidR="005A644E" w:rsidRDefault="00073023">
      <w:pPr>
        <w:spacing w:after="0" w:line="323" w:lineRule="auto"/>
        <w:ind w:left="0" w:right="0" w:firstLine="641"/>
      </w:pPr>
      <w:r>
        <w:t xml:space="preserve">《山东理工大学专业技术职务晋升聘用办法补充规定》业经研究同意，现印发给你们，请认真贯彻执行。 </w:t>
      </w:r>
    </w:p>
    <w:p w:rsidR="005A644E" w:rsidRDefault="00073023">
      <w:pPr>
        <w:spacing w:after="0" w:line="325" w:lineRule="auto"/>
        <w:ind w:left="0" w:right="1964" w:firstLine="641"/>
      </w:pPr>
      <w:r>
        <w:t xml:space="preserve">                          </w:t>
      </w:r>
      <w:r w:rsidR="003F0DC5">
        <w:rPr>
          <w:rFonts w:asciiTheme="minorEastAsia" w:eastAsiaTheme="minorEastAsia" w:hAnsiTheme="minorEastAsia" w:hint="eastAsia"/>
        </w:rPr>
        <w:t xml:space="preserve">                    </w:t>
      </w:r>
      <w:r>
        <w:t xml:space="preserve">       山东理工大学 </w:t>
      </w:r>
    </w:p>
    <w:p w:rsidR="005A644E" w:rsidRDefault="00073023">
      <w:pPr>
        <w:ind w:right="0"/>
      </w:pPr>
      <w:r>
        <w:t xml:space="preserve">                                 </w:t>
      </w:r>
      <w:r w:rsidR="003F0DC5">
        <w:rPr>
          <w:rFonts w:asciiTheme="minorEastAsia" w:eastAsiaTheme="minorEastAsia" w:hAnsiTheme="minorEastAsia" w:hint="eastAsia"/>
        </w:rPr>
        <w:t xml:space="preserve">                      </w:t>
      </w:r>
      <w:r>
        <w:t xml:space="preserve">   2017年9月7日 </w:t>
      </w:r>
    </w:p>
    <w:p w:rsidR="005A644E" w:rsidRDefault="00073023">
      <w:pPr>
        <w:spacing w:after="113"/>
        <w:ind w:left="0" w:right="0" w:firstLine="0"/>
      </w:pPr>
      <w:r>
        <w:t xml:space="preserve"> </w:t>
      </w:r>
    </w:p>
    <w:p w:rsidR="005A644E" w:rsidRDefault="00073023">
      <w:pPr>
        <w:ind w:left="0" w:right="0" w:firstLine="0"/>
      </w:pPr>
      <w:r>
        <w:t xml:space="preserve"> </w:t>
      </w:r>
    </w:p>
    <w:p w:rsidR="005A644E" w:rsidRDefault="00073023">
      <w:pPr>
        <w:ind w:left="0" w:right="0" w:firstLine="0"/>
      </w:pPr>
      <w:r>
        <w:t xml:space="preserve"> </w:t>
      </w:r>
    </w:p>
    <w:p w:rsidR="005A644E" w:rsidRDefault="00073023">
      <w:pPr>
        <w:spacing w:after="0"/>
        <w:ind w:left="0" w:right="0" w:firstLine="0"/>
      </w:pPr>
      <w:r>
        <w:t xml:space="preserve"> </w:t>
      </w:r>
    </w:p>
    <w:p w:rsidR="003F0DC5" w:rsidRDefault="00073023">
      <w:pPr>
        <w:pStyle w:val="1"/>
        <w:ind w:right="163"/>
        <w:rPr>
          <w:rFonts w:eastAsiaTheme="minorEastAsia" w:hint="eastAsia"/>
        </w:rPr>
      </w:pPr>
      <w:r>
        <w:t>山东理工大学专业技术职务晋升聘用办法</w:t>
      </w:r>
    </w:p>
    <w:p w:rsidR="005A644E" w:rsidRDefault="00073023">
      <w:pPr>
        <w:pStyle w:val="1"/>
        <w:ind w:right="163"/>
      </w:pPr>
      <w:r>
        <w:t xml:space="preserve">补充规定 </w:t>
      </w:r>
    </w:p>
    <w:p w:rsidR="005A644E" w:rsidRDefault="00073023">
      <w:pPr>
        <w:ind w:left="0" w:right="2" w:firstLine="0"/>
        <w:jc w:val="center"/>
      </w:pPr>
      <w:r>
        <w:t xml:space="preserve"> </w:t>
      </w:r>
    </w:p>
    <w:p w:rsidR="005A644E" w:rsidRDefault="00073023">
      <w:pPr>
        <w:spacing w:after="2" w:line="324" w:lineRule="auto"/>
        <w:ind w:left="0" w:right="0" w:firstLine="641"/>
      </w:pPr>
      <w:r>
        <w:lastRenderedPageBreak/>
        <w:t xml:space="preserve">为进一步畅通引进人才的聘用渠道，激发教师在应用研究、成果转化、技术转让、政府咨询、文化传承等方面的创新活力，完善专业技术人员职务晋升聘用办法，根据国家和山东省关于职称制度改革以及创新驱动发展的意见，结合学校实际，制定本补充规定。 </w:t>
      </w:r>
    </w:p>
    <w:p w:rsidR="005A644E" w:rsidRDefault="00073023">
      <w:pPr>
        <w:pStyle w:val="2"/>
        <w:ind w:left="636"/>
      </w:pPr>
      <w:r>
        <w:t xml:space="preserve">一、教授、副教授直聘 </w:t>
      </w:r>
    </w:p>
    <w:p w:rsidR="005A644E" w:rsidRDefault="00073023">
      <w:pPr>
        <w:ind w:left="636" w:right="0"/>
      </w:pPr>
      <w:r>
        <w:t>教授、</w:t>
      </w:r>
      <w:proofErr w:type="gramStart"/>
      <w:r>
        <w:t>副教授直聘适用于</w:t>
      </w:r>
      <w:proofErr w:type="gramEnd"/>
      <w:r>
        <w:t xml:space="preserve">我校全职引进的急需高水平人才。 </w:t>
      </w:r>
    </w:p>
    <w:p w:rsidR="005A644E" w:rsidRDefault="00073023">
      <w:pPr>
        <w:numPr>
          <w:ilvl w:val="0"/>
          <w:numId w:val="1"/>
        </w:numPr>
        <w:ind w:right="0" w:hanging="960"/>
      </w:pPr>
      <w:proofErr w:type="gramStart"/>
      <w:r>
        <w:t>直聘条件</w:t>
      </w:r>
      <w:proofErr w:type="gramEnd"/>
      <w:r>
        <w:t xml:space="preserve"> </w:t>
      </w:r>
    </w:p>
    <w:p w:rsidR="005A644E" w:rsidRDefault="00073023">
      <w:pPr>
        <w:spacing w:after="0" w:line="323" w:lineRule="auto"/>
        <w:ind w:left="0" w:right="0" w:firstLine="641"/>
      </w:pPr>
      <w:r>
        <w:t xml:space="preserve">1.具有国家级或省部级人才工程称号的，根据学术水平和业绩情况,可直聘为教授或副教授。 </w:t>
      </w:r>
    </w:p>
    <w:p w:rsidR="005A644E" w:rsidRDefault="00073023">
      <w:pPr>
        <w:ind w:left="636" w:right="0"/>
      </w:pPr>
      <w:r>
        <w:t>2.取得高水平学术成果的其他海内外高水平人才，参考学校</w:t>
      </w:r>
    </w:p>
    <w:p w:rsidR="005A644E" w:rsidRDefault="00073023">
      <w:pPr>
        <w:spacing w:after="0" w:line="323" w:lineRule="auto"/>
        <w:ind w:right="0"/>
      </w:pPr>
      <w:r>
        <w:t xml:space="preserve">（学院）正常晋升教授、副教授的业绩条件, 可直聘为教授或副教授。  </w:t>
      </w:r>
    </w:p>
    <w:p w:rsidR="005A644E" w:rsidRDefault="00073023">
      <w:pPr>
        <w:numPr>
          <w:ilvl w:val="0"/>
          <w:numId w:val="1"/>
        </w:numPr>
        <w:ind w:right="0" w:hanging="960"/>
      </w:pPr>
      <w:proofErr w:type="gramStart"/>
      <w:r>
        <w:t>直聘程序</w:t>
      </w:r>
      <w:proofErr w:type="gramEnd"/>
      <w:r>
        <w:t xml:space="preserve"> </w:t>
      </w:r>
    </w:p>
    <w:p w:rsidR="005A644E" w:rsidRDefault="00073023">
      <w:pPr>
        <w:spacing w:after="0" w:line="324" w:lineRule="auto"/>
        <w:ind w:left="0" w:right="0" w:firstLine="641"/>
      </w:pPr>
      <w:r>
        <w:t>确定引进的急需高水平人才且</w:t>
      </w:r>
      <w:proofErr w:type="gramStart"/>
      <w:r>
        <w:t>符合直聘条件</w:t>
      </w:r>
      <w:proofErr w:type="gramEnd"/>
      <w:r>
        <w:t xml:space="preserve">，由学科所在学院或学校人才工作领导小组提出建议，校学科与师资专委会对其人才工程称号、学术水平和业绩条件等审核把关，经校长办公会研究通过后直接聘用。 </w:t>
      </w:r>
    </w:p>
    <w:p w:rsidR="005A644E" w:rsidRDefault="00073023">
      <w:pPr>
        <w:spacing w:after="0" w:line="343" w:lineRule="auto"/>
        <w:ind w:left="0" w:right="159" w:firstLine="641"/>
        <w:jc w:val="both"/>
      </w:pPr>
      <w:r>
        <w:t>(三)</w:t>
      </w:r>
      <w:proofErr w:type="gramStart"/>
      <w:r>
        <w:t>直聘教师</w:t>
      </w:r>
      <w:proofErr w:type="gramEnd"/>
      <w:r>
        <w:t xml:space="preserve">到岗后，学校负责与其签订 5 年聘用合同,明确年度任务和聘期目标任务,第 3 年末进行中期考核,对未能认真履行岗位职责或未能取得应有业绩的，学校予以提醒，无任何进展的予以解聘。期满完成聘期目标任务考核合格的,可续聘并签订新的聘用合同,期满未完成聘期目标任务考核不合格的,不再续聘或予以低聘。 </w:t>
      </w:r>
    </w:p>
    <w:p w:rsidR="005A644E" w:rsidRDefault="00073023">
      <w:pPr>
        <w:pStyle w:val="2"/>
        <w:ind w:left="636"/>
      </w:pPr>
      <w:r>
        <w:lastRenderedPageBreak/>
        <w:t xml:space="preserve">二、成果转化型教师职务聘用 </w:t>
      </w:r>
    </w:p>
    <w:p w:rsidR="005A644E" w:rsidRDefault="00073023">
      <w:pPr>
        <w:spacing w:after="0" w:line="324" w:lineRule="auto"/>
        <w:ind w:left="0" w:right="0" w:firstLine="641"/>
      </w:pPr>
      <w:r>
        <w:t xml:space="preserve">成果转化型教师职务聘用适用于在应用研究、科研成果转化推广、专利转让、政府决策、文化传承等领域做出突出成绩的教师职务晋升聘用。 </w:t>
      </w:r>
    </w:p>
    <w:p w:rsidR="005A644E" w:rsidRDefault="00073023">
      <w:pPr>
        <w:ind w:left="636" w:right="0"/>
      </w:pPr>
      <w:r>
        <w:t xml:space="preserve">符合下列聘用条件，可申报正常晋升成果转化型教师职务。 </w:t>
      </w:r>
    </w:p>
    <w:p w:rsidR="005A644E" w:rsidRDefault="00073023">
      <w:pPr>
        <w:ind w:left="636" w:right="0"/>
      </w:pPr>
      <w:r>
        <w:t xml:space="preserve">（一）聘用条件 </w:t>
      </w:r>
    </w:p>
    <w:p w:rsidR="005A644E" w:rsidRDefault="00073023">
      <w:pPr>
        <w:ind w:left="636" w:right="0"/>
      </w:pPr>
      <w:r>
        <w:t xml:space="preserve">1.基本条件 </w:t>
      </w:r>
    </w:p>
    <w:p w:rsidR="005A644E" w:rsidRDefault="00073023">
      <w:pPr>
        <w:spacing w:after="0" w:line="325" w:lineRule="auto"/>
        <w:ind w:left="0" w:right="0" w:firstLine="641"/>
      </w:pPr>
      <w:r>
        <w:t>教师申报晋升聘用成果转化型教师职务，须符合《山东理工大学教师专业技术职务晋升聘用办法》（鲁理工大政发〔2014〕</w:t>
      </w:r>
    </w:p>
    <w:p w:rsidR="005A644E" w:rsidRDefault="00073023">
      <w:pPr>
        <w:ind w:right="0"/>
      </w:pPr>
      <w:r>
        <w:t xml:space="preserve">20号）中规定的思想政治条件和正常晋升年限条件。 </w:t>
      </w:r>
    </w:p>
    <w:p w:rsidR="005A644E" w:rsidRDefault="00073023">
      <w:pPr>
        <w:ind w:left="636" w:right="0"/>
      </w:pPr>
      <w:r>
        <w:t xml:space="preserve">2.业绩条件 </w:t>
      </w:r>
    </w:p>
    <w:p w:rsidR="005A644E" w:rsidRDefault="00073023">
      <w:pPr>
        <w:ind w:left="636" w:right="0"/>
      </w:pPr>
      <w:r>
        <w:t xml:space="preserve">（1）正常晋升教授业绩条件 </w:t>
      </w:r>
    </w:p>
    <w:p w:rsidR="005A644E" w:rsidRDefault="00073023">
      <w:pPr>
        <w:ind w:left="636" w:right="0"/>
      </w:pPr>
      <w:r>
        <w:t xml:space="preserve">①理工类 </w:t>
      </w:r>
    </w:p>
    <w:p w:rsidR="005A644E" w:rsidRDefault="00073023">
      <w:pPr>
        <w:ind w:left="636" w:right="0"/>
      </w:pPr>
      <w:r>
        <w:t xml:space="preserve">A.年均至少讲授32学时课程。 </w:t>
      </w:r>
    </w:p>
    <w:p w:rsidR="005A644E" w:rsidRDefault="00073023">
      <w:pPr>
        <w:spacing w:after="0" w:line="324" w:lineRule="auto"/>
        <w:ind w:left="0" w:right="0" w:firstLine="641"/>
      </w:pPr>
      <w:r>
        <w:t>B.首位或团队中有实质性突出贡献者，在本专业领域获</w:t>
      </w:r>
      <w:proofErr w:type="gramStart"/>
      <w:r>
        <w:t>批国家</w:t>
      </w:r>
      <w:proofErr w:type="gramEnd"/>
      <w:r>
        <w:t>发明专利并被开发转化推广或培育研发的新品种、新产品、新工艺、新技术在社会推广并取得重大经济效益，学校从其成果转化总额中所获得的净收益累计达200万元及以上（以发明人、培育人、研发人</w:t>
      </w:r>
      <w:proofErr w:type="gramStart"/>
      <w:r>
        <w:t>个</w:t>
      </w:r>
      <w:proofErr w:type="gramEnd"/>
      <w:r>
        <w:t xml:space="preserve">人为学校带来的净收益统计额为准，下同）。 </w:t>
      </w:r>
    </w:p>
    <w:p w:rsidR="005A644E" w:rsidRDefault="00073023">
      <w:pPr>
        <w:ind w:left="636" w:right="0"/>
      </w:pPr>
      <w:r>
        <w:t xml:space="preserve">②人文社科类 </w:t>
      </w:r>
    </w:p>
    <w:p w:rsidR="005A644E" w:rsidRDefault="00073023">
      <w:pPr>
        <w:ind w:left="636" w:right="0"/>
      </w:pPr>
      <w:r>
        <w:t xml:space="preserve">A.年均至少讲授32学时课程。 </w:t>
      </w:r>
    </w:p>
    <w:p w:rsidR="005A644E" w:rsidRDefault="00073023">
      <w:pPr>
        <w:spacing w:after="0" w:line="324" w:lineRule="auto"/>
        <w:ind w:left="0" w:right="0" w:firstLine="641"/>
      </w:pPr>
      <w:r>
        <w:t>B.首位或团队中有实质性突出贡献者，在本专业领域获独立版权（著作权）并被应用推广且取得重大经济效益，学校从其成果转化总额中所获得的净收益累计达100万元及以上；或首位或</w:t>
      </w:r>
      <w:r>
        <w:lastRenderedPageBreak/>
        <w:t xml:space="preserve">者团队中有实质性突出贡献者，其成果被国家领导人、省部级主要领导肯定性批示并采纳或被省部级及以上政府部门正式文件采用推广，且取得重大社会效益，产生重大社会影响，大幅提升了我校的办学声誉和地位。 </w:t>
      </w:r>
    </w:p>
    <w:p w:rsidR="005A644E" w:rsidRDefault="00073023">
      <w:pPr>
        <w:ind w:left="636" w:right="0"/>
      </w:pPr>
      <w:r>
        <w:t xml:space="preserve">(2)正常晋升副教授业绩条件 </w:t>
      </w:r>
    </w:p>
    <w:p w:rsidR="005A644E" w:rsidRDefault="00073023">
      <w:pPr>
        <w:ind w:left="636" w:right="0"/>
      </w:pPr>
      <w:r>
        <w:t xml:space="preserve">①理工类 </w:t>
      </w:r>
    </w:p>
    <w:p w:rsidR="005A644E" w:rsidRDefault="00073023">
      <w:pPr>
        <w:ind w:left="636" w:right="0"/>
      </w:pPr>
      <w:r>
        <w:t xml:space="preserve">A.年均至少讲授32学时课程。 </w:t>
      </w:r>
    </w:p>
    <w:p w:rsidR="005A644E" w:rsidRDefault="00073023">
      <w:pPr>
        <w:spacing w:after="1" w:line="324" w:lineRule="auto"/>
        <w:ind w:left="0" w:right="0" w:firstLine="641"/>
      </w:pPr>
      <w:r>
        <w:t xml:space="preserve">B.首位或团队中有实质性突出贡献者，在本专业领域获国家发明专利并被开发转化或培育、研发的新品种、新产品、新工艺、新技术在社会推广并取得较大经济效益，学校从其成果转化总额中所获得的净收益累计100万元及以上。 </w:t>
      </w:r>
    </w:p>
    <w:p w:rsidR="005A644E" w:rsidRDefault="00073023">
      <w:pPr>
        <w:ind w:left="636" w:right="0"/>
      </w:pPr>
      <w:r>
        <w:t xml:space="preserve">②人文社科类 </w:t>
      </w:r>
    </w:p>
    <w:p w:rsidR="005A644E" w:rsidRDefault="00073023">
      <w:pPr>
        <w:ind w:left="636" w:right="0"/>
      </w:pPr>
      <w:r>
        <w:t xml:space="preserve">A.年均至少讲授32学时课程。 </w:t>
      </w:r>
    </w:p>
    <w:p w:rsidR="005A644E" w:rsidRDefault="00073023">
      <w:pPr>
        <w:spacing w:after="0" w:line="327" w:lineRule="auto"/>
        <w:ind w:left="0" w:right="0" w:firstLine="641"/>
      </w:pPr>
      <w:r>
        <w:t xml:space="preserve">B.首位或团队中有实质性突出贡献者，在本专业领域获独立版权（著作权）并被应用推广且取得较大经济效益，学校从其成果转化总额中所获得的净收益累计达 50 万元及以上；或首位或者团队中有实质性突出贡献者，其成果被省级及以上领导、地市级主要领导肯定性批示并采纳或被地市级及以上政府部门正式文件采用推广，且取得较大社会效益，产生较大社会影响，较大地提升了我校的办学声誉和地位。 </w:t>
      </w:r>
    </w:p>
    <w:p w:rsidR="005A644E" w:rsidRDefault="00073023">
      <w:pPr>
        <w:spacing w:after="0" w:line="324" w:lineRule="auto"/>
        <w:ind w:left="636" w:right="0"/>
      </w:pPr>
      <w:r>
        <w:t xml:space="preserve">以上（1）(2)为学校制定的成果转化型正常晋升教授、副教授的最低业绩条件，各学院应在此基础上，根据学科不同特点，制定更加适合本学科教师职务晋升发展的个性化条件，报学校备案后执行。 </w:t>
      </w:r>
    </w:p>
    <w:p w:rsidR="005A644E" w:rsidRDefault="00073023">
      <w:pPr>
        <w:ind w:left="636" w:right="0"/>
      </w:pPr>
      <w:r>
        <w:lastRenderedPageBreak/>
        <w:t xml:space="preserve">(3)晋升讲师、助教业绩条件 </w:t>
      </w:r>
    </w:p>
    <w:p w:rsidR="005A644E" w:rsidRDefault="00073023">
      <w:pPr>
        <w:spacing w:after="0" w:line="325" w:lineRule="auto"/>
        <w:ind w:left="0" w:right="0" w:firstLine="641"/>
      </w:pPr>
      <w:r>
        <w:t xml:space="preserve">申报正常晋升成果转化型讲师和助教的业绩条件由各学院根据学科发展要求研究制定，报学校备案后执行。 </w:t>
      </w:r>
    </w:p>
    <w:p w:rsidR="005A644E" w:rsidRDefault="00073023">
      <w:pPr>
        <w:ind w:left="636" w:right="0"/>
      </w:pPr>
      <w:r>
        <w:t xml:space="preserve">（二）聘用程序 </w:t>
      </w:r>
    </w:p>
    <w:p w:rsidR="005A644E" w:rsidRDefault="00073023">
      <w:pPr>
        <w:spacing w:after="0" w:line="333" w:lineRule="auto"/>
        <w:ind w:left="0" w:right="0" w:firstLine="641"/>
      </w:pPr>
      <w:r>
        <w:t xml:space="preserve">成果转化型教师职务晋升聘用程序按《山东理工大学教师专业技术职务晋升聘用办法》（鲁理工大政发〔2014〕20 号）执行。 </w:t>
      </w:r>
    </w:p>
    <w:p w:rsidR="005A644E" w:rsidRDefault="00073023">
      <w:pPr>
        <w:pStyle w:val="2"/>
        <w:ind w:left="636"/>
      </w:pPr>
      <w:r>
        <w:t xml:space="preserve">三、其他规定 </w:t>
      </w:r>
    </w:p>
    <w:p w:rsidR="005A644E" w:rsidRDefault="00073023">
      <w:pPr>
        <w:numPr>
          <w:ilvl w:val="0"/>
          <w:numId w:val="2"/>
        </w:numPr>
        <w:spacing w:after="0" w:line="323" w:lineRule="auto"/>
        <w:ind w:right="0" w:firstLine="641"/>
      </w:pPr>
      <w:r>
        <w:t xml:space="preserve">申报晋升教师（含辅导员系列）及辅助系列专业技术职务，不再将职称外语考试成绩作为申报的资格条件。 </w:t>
      </w:r>
    </w:p>
    <w:p w:rsidR="005A644E" w:rsidRDefault="00073023">
      <w:pPr>
        <w:numPr>
          <w:ilvl w:val="0"/>
          <w:numId w:val="2"/>
        </w:numPr>
        <w:spacing w:after="0" w:line="324" w:lineRule="auto"/>
        <w:ind w:right="0" w:firstLine="641"/>
      </w:pPr>
      <w:r>
        <w:t xml:space="preserve">取消《山东理工大学教师专业技术职务晋升聘用办法》（鲁理工大政发〔2014〕20号）中的“不具备规定学历学位的，不得申报正常晋升教授”的限制。 </w:t>
      </w:r>
    </w:p>
    <w:p w:rsidR="005A644E" w:rsidRDefault="00073023">
      <w:pPr>
        <w:numPr>
          <w:ilvl w:val="0"/>
          <w:numId w:val="2"/>
        </w:numPr>
        <w:spacing w:after="1" w:line="324" w:lineRule="auto"/>
        <w:ind w:right="0" w:firstLine="641"/>
      </w:pPr>
      <w:r>
        <w:t xml:space="preserve">不同系列专业技术职务之间（如教师与辅助人员、教师与辅导员以及辅助系列之间）不允许直接转聘，确因工作需转到其他专业技术系列的，须按转入系列相应职务的晋升聘用条件，经高评委表决，报校长办公会研究后按规定程序聘用。 </w:t>
      </w:r>
    </w:p>
    <w:p w:rsidR="005A644E" w:rsidRDefault="00073023">
      <w:pPr>
        <w:ind w:left="636" w:right="0"/>
      </w:pPr>
      <w:r>
        <w:rPr>
          <w:rFonts w:ascii="黑体" w:eastAsia="黑体" w:hAnsi="黑体" w:cs="黑体"/>
        </w:rPr>
        <w:t>四、</w:t>
      </w:r>
      <w:r>
        <w:t xml:space="preserve">本办法自印发之日起执行，由人力资源处负责解释。 </w:t>
      </w:r>
    </w:p>
    <w:p w:rsidR="005A644E" w:rsidRDefault="00073023">
      <w:pPr>
        <w:ind w:left="641" w:right="0" w:firstLine="0"/>
      </w:pPr>
      <w:r>
        <w:t xml:space="preserve"> </w:t>
      </w:r>
    </w:p>
    <w:p w:rsidR="005A644E" w:rsidRDefault="00073023">
      <w:pPr>
        <w:spacing w:after="113"/>
        <w:ind w:left="641" w:right="0" w:firstLine="0"/>
      </w:pPr>
      <w:r>
        <w:t xml:space="preserve"> </w:t>
      </w:r>
    </w:p>
    <w:p w:rsidR="005A644E" w:rsidRDefault="00073023">
      <w:pPr>
        <w:spacing w:after="0"/>
        <w:ind w:left="641" w:right="0" w:firstLine="0"/>
      </w:pPr>
      <w:r>
        <w:t xml:space="preserve"> </w:t>
      </w:r>
    </w:p>
    <w:p w:rsidR="005A644E" w:rsidRDefault="00073023">
      <w:pPr>
        <w:ind w:left="641" w:right="0" w:firstLine="0"/>
      </w:pPr>
      <w:r>
        <w:t xml:space="preserve"> </w:t>
      </w:r>
    </w:p>
    <w:p w:rsidR="005A644E" w:rsidRDefault="00073023">
      <w:pPr>
        <w:spacing w:after="113"/>
        <w:ind w:left="641" w:right="0" w:firstLine="0"/>
      </w:pPr>
      <w:r>
        <w:t xml:space="preserve"> </w:t>
      </w:r>
    </w:p>
    <w:p w:rsidR="005A644E" w:rsidRDefault="00073023">
      <w:pPr>
        <w:ind w:left="641" w:right="0" w:firstLine="0"/>
      </w:pPr>
      <w:r>
        <w:t xml:space="preserve"> </w:t>
      </w:r>
    </w:p>
    <w:p w:rsidR="005A644E" w:rsidRDefault="00073023">
      <w:pPr>
        <w:ind w:left="641" w:right="0" w:firstLine="0"/>
      </w:pPr>
      <w:r>
        <w:t xml:space="preserve"> </w:t>
      </w:r>
    </w:p>
    <w:p w:rsidR="005A644E" w:rsidRDefault="00073023">
      <w:pPr>
        <w:spacing w:after="113"/>
        <w:ind w:left="641" w:right="0" w:firstLine="0"/>
      </w:pPr>
      <w:r>
        <w:lastRenderedPageBreak/>
        <w:t xml:space="preserve"> </w:t>
      </w:r>
    </w:p>
    <w:p w:rsidR="005A644E" w:rsidRDefault="00073023">
      <w:pPr>
        <w:ind w:left="641" w:right="0" w:firstLine="0"/>
      </w:pPr>
      <w:r>
        <w:t xml:space="preserve"> </w:t>
      </w:r>
    </w:p>
    <w:p w:rsidR="005A644E" w:rsidRDefault="00073023">
      <w:pPr>
        <w:ind w:left="641" w:right="0" w:firstLine="0"/>
      </w:pPr>
      <w:r>
        <w:t xml:space="preserve"> </w:t>
      </w:r>
    </w:p>
    <w:p w:rsidR="005A644E" w:rsidRDefault="00073023">
      <w:pPr>
        <w:spacing w:after="113"/>
        <w:ind w:left="641" w:right="0" w:firstLine="0"/>
      </w:pPr>
      <w:r>
        <w:t xml:space="preserve"> </w:t>
      </w:r>
    </w:p>
    <w:p w:rsidR="005A644E" w:rsidRDefault="00073023">
      <w:pPr>
        <w:ind w:left="641" w:right="0" w:firstLine="0"/>
      </w:pPr>
      <w:r>
        <w:t xml:space="preserve"> </w:t>
      </w:r>
    </w:p>
    <w:p w:rsidR="005A644E" w:rsidRDefault="00073023">
      <w:pPr>
        <w:ind w:left="641" w:right="0" w:firstLine="0"/>
      </w:pPr>
      <w:r>
        <w:t xml:space="preserve"> </w:t>
      </w:r>
    </w:p>
    <w:p w:rsidR="005A644E" w:rsidRDefault="00073023">
      <w:pPr>
        <w:spacing w:after="113"/>
        <w:ind w:left="641" w:right="0" w:firstLine="0"/>
      </w:pPr>
      <w:r>
        <w:t xml:space="preserve"> </w:t>
      </w:r>
    </w:p>
    <w:p w:rsidR="005A644E" w:rsidRDefault="00073023">
      <w:pPr>
        <w:ind w:left="641" w:right="0" w:firstLine="0"/>
      </w:pPr>
      <w:r>
        <w:t xml:space="preserve"> </w:t>
      </w:r>
    </w:p>
    <w:p w:rsidR="005A644E" w:rsidRDefault="00073023">
      <w:pPr>
        <w:ind w:left="641" w:right="0" w:firstLine="0"/>
      </w:pPr>
      <w:r>
        <w:t xml:space="preserve"> </w:t>
      </w:r>
    </w:p>
    <w:p w:rsidR="005A644E" w:rsidRDefault="00073023">
      <w:pPr>
        <w:spacing w:after="113"/>
        <w:ind w:left="641" w:right="0" w:firstLine="0"/>
      </w:pPr>
      <w:r>
        <w:t xml:space="preserve"> </w:t>
      </w:r>
    </w:p>
    <w:p w:rsidR="005A644E" w:rsidRDefault="00073023">
      <w:pPr>
        <w:ind w:left="641" w:right="0" w:firstLine="0"/>
      </w:pPr>
      <w:r>
        <w:t xml:space="preserve"> </w:t>
      </w:r>
    </w:p>
    <w:p w:rsidR="005A644E" w:rsidRDefault="00073023">
      <w:pPr>
        <w:ind w:left="641" w:right="0" w:firstLine="0"/>
      </w:pPr>
      <w:r>
        <w:t xml:space="preserve"> </w:t>
      </w:r>
    </w:p>
    <w:p w:rsidR="005A644E" w:rsidRDefault="00073023">
      <w:pPr>
        <w:spacing w:after="113"/>
        <w:ind w:left="641" w:right="0" w:firstLine="0"/>
      </w:pPr>
      <w:r>
        <w:t xml:space="preserve"> </w:t>
      </w:r>
    </w:p>
    <w:p w:rsidR="005A644E" w:rsidRDefault="00073023">
      <w:pPr>
        <w:ind w:left="641" w:right="0" w:firstLine="0"/>
      </w:pPr>
      <w:r>
        <w:t xml:space="preserve"> </w:t>
      </w:r>
    </w:p>
    <w:p w:rsidR="005A644E" w:rsidRDefault="00073023">
      <w:pPr>
        <w:ind w:left="641" w:right="0" w:firstLine="0"/>
      </w:pPr>
      <w:r>
        <w:t xml:space="preserve"> </w:t>
      </w:r>
    </w:p>
    <w:p w:rsidR="005A644E" w:rsidRDefault="00073023">
      <w:pPr>
        <w:spacing w:after="113"/>
        <w:ind w:left="641" w:right="0" w:firstLine="0"/>
      </w:pPr>
      <w:r>
        <w:t xml:space="preserve"> </w:t>
      </w:r>
    </w:p>
    <w:p w:rsidR="005A644E" w:rsidRDefault="00073023">
      <w:pPr>
        <w:ind w:left="641" w:right="0" w:firstLine="0"/>
      </w:pPr>
      <w:r>
        <w:t xml:space="preserve"> </w:t>
      </w:r>
    </w:p>
    <w:p w:rsidR="005A644E" w:rsidRDefault="00073023">
      <w:pPr>
        <w:spacing w:after="0"/>
        <w:ind w:left="641" w:right="0" w:firstLine="0"/>
      </w:pPr>
      <w:r>
        <w:t xml:space="preserve"> </w:t>
      </w:r>
    </w:p>
    <w:p w:rsidR="005A644E" w:rsidRDefault="00073023">
      <w:pPr>
        <w:spacing w:after="210"/>
        <w:ind w:left="-29" w:right="0" w:firstLine="0"/>
      </w:pPr>
      <w:r>
        <w:rPr>
          <w:rFonts w:ascii="Calibri" w:eastAsia="Calibri" w:hAnsi="Calibri" w:cs="Calibri"/>
          <w:noProof/>
          <w:sz w:val="22"/>
        </w:rPr>
        <mc:AlternateContent>
          <mc:Choice Requires="wpg">
            <w:drawing>
              <wp:inline distT="0" distB="0" distL="0" distR="0">
                <wp:extent cx="5653406" cy="9144"/>
                <wp:effectExtent l="0" t="0" r="0" b="0"/>
                <wp:docPr id="2771" name="Group 2771"/>
                <wp:cNvGraphicFramePr/>
                <a:graphic xmlns:a="http://schemas.openxmlformats.org/drawingml/2006/main">
                  <a:graphicData uri="http://schemas.microsoft.com/office/word/2010/wordprocessingGroup">
                    <wpg:wgp>
                      <wpg:cNvGrpSpPr/>
                      <wpg:grpSpPr>
                        <a:xfrm>
                          <a:off x="0" y="0"/>
                          <a:ext cx="5653406" cy="9144"/>
                          <a:chOff x="0" y="0"/>
                          <a:chExt cx="5653406" cy="9144"/>
                        </a:xfrm>
                      </wpg:grpSpPr>
                      <wps:wsp>
                        <wps:cNvPr id="3114" name="Shape 3114"/>
                        <wps:cNvSpPr/>
                        <wps:spPr>
                          <a:xfrm>
                            <a:off x="0" y="0"/>
                            <a:ext cx="5653406" cy="9144"/>
                          </a:xfrm>
                          <a:custGeom>
                            <a:avLst/>
                            <a:gdLst/>
                            <a:ahLst/>
                            <a:cxnLst/>
                            <a:rect l="0" t="0" r="0" b="0"/>
                            <a:pathLst>
                              <a:path w="5653406" h="9144">
                                <a:moveTo>
                                  <a:pt x="0" y="0"/>
                                </a:moveTo>
                                <a:lnTo>
                                  <a:pt x="5653406" y="0"/>
                                </a:lnTo>
                                <a:lnTo>
                                  <a:pt x="565340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2771" style="width:445.15pt;height:0.719971pt;mso-position-horizontal-relative:char;mso-position-vertical-relative:line" coordsize="56534,91">
                <v:shape id="Shape 3115" style="position:absolute;width:56534;height:91;left:0;top:0;" coordsize="5653406,9144" path="m0,0l5653406,0l5653406,9144l0,9144l0,0">
                  <v:stroke weight="0pt" endcap="flat" joinstyle="miter" miterlimit="10" on="false" color="#000000" opacity="0"/>
                  <v:fill on="true" color="#000000"/>
                </v:shape>
              </v:group>
            </w:pict>
          </mc:Fallback>
        </mc:AlternateContent>
      </w:r>
    </w:p>
    <w:p w:rsidR="005A644E" w:rsidRDefault="00073023">
      <w:pPr>
        <w:spacing w:after="0"/>
        <w:ind w:left="-5" w:right="0"/>
      </w:pPr>
      <w:r>
        <w:rPr>
          <w:sz w:val="28"/>
        </w:rPr>
        <w:t xml:space="preserve">  抄送：各党总支（党委），校党委各部门、</w:t>
      </w:r>
      <w:proofErr w:type="gramStart"/>
      <w:r>
        <w:rPr>
          <w:sz w:val="28"/>
        </w:rPr>
        <w:t>各群团组织</w:t>
      </w:r>
      <w:proofErr w:type="gramEnd"/>
      <w:r>
        <w:rPr>
          <w:sz w:val="28"/>
        </w:rPr>
        <w:t>。</w:t>
      </w:r>
      <w:r>
        <w:rPr>
          <w:sz w:val="24"/>
        </w:rPr>
        <w:t xml:space="preserve"> </w:t>
      </w:r>
    </w:p>
    <w:p w:rsidR="005A644E" w:rsidRDefault="00073023">
      <w:pPr>
        <w:spacing w:after="207"/>
        <w:ind w:left="-29" w:right="0" w:firstLine="0"/>
      </w:pPr>
      <w:r>
        <w:rPr>
          <w:rFonts w:ascii="Calibri" w:eastAsia="Calibri" w:hAnsi="Calibri" w:cs="Calibri"/>
          <w:noProof/>
          <w:sz w:val="22"/>
        </w:rPr>
        <mc:AlternateContent>
          <mc:Choice Requires="wpg">
            <w:drawing>
              <wp:inline distT="0" distB="0" distL="0" distR="0">
                <wp:extent cx="5653406" cy="9144"/>
                <wp:effectExtent l="0" t="0" r="0" b="0"/>
                <wp:docPr id="2772" name="Group 2772"/>
                <wp:cNvGraphicFramePr/>
                <a:graphic xmlns:a="http://schemas.openxmlformats.org/drawingml/2006/main">
                  <a:graphicData uri="http://schemas.microsoft.com/office/word/2010/wordprocessingGroup">
                    <wpg:wgp>
                      <wpg:cNvGrpSpPr/>
                      <wpg:grpSpPr>
                        <a:xfrm>
                          <a:off x="0" y="0"/>
                          <a:ext cx="5653406" cy="9144"/>
                          <a:chOff x="0" y="0"/>
                          <a:chExt cx="5653406" cy="9144"/>
                        </a:xfrm>
                      </wpg:grpSpPr>
                      <wps:wsp>
                        <wps:cNvPr id="3116" name="Shape 3116"/>
                        <wps:cNvSpPr/>
                        <wps:spPr>
                          <a:xfrm>
                            <a:off x="0" y="0"/>
                            <a:ext cx="5653406" cy="9144"/>
                          </a:xfrm>
                          <a:custGeom>
                            <a:avLst/>
                            <a:gdLst/>
                            <a:ahLst/>
                            <a:cxnLst/>
                            <a:rect l="0" t="0" r="0" b="0"/>
                            <a:pathLst>
                              <a:path w="5653406" h="9144">
                                <a:moveTo>
                                  <a:pt x="0" y="0"/>
                                </a:moveTo>
                                <a:lnTo>
                                  <a:pt x="5653406" y="0"/>
                                </a:lnTo>
                                <a:lnTo>
                                  <a:pt x="565340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2772" style="width:445.15pt;height:0.719971pt;mso-position-horizontal-relative:char;mso-position-vertical-relative:line" coordsize="56534,91">
                <v:shape id="Shape 3117" style="position:absolute;width:56534;height:91;left:0;top:0;" coordsize="5653406,9144" path="m0,0l5653406,0l5653406,9144l0,9144l0,0">
                  <v:stroke weight="0pt" endcap="flat" joinstyle="miter" miterlimit="10" on="false" color="#000000" opacity="0"/>
                  <v:fill on="true" color="#000000"/>
                </v:shape>
              </v:group>
            </w:pict>
          </mc:Fallback>
        </mc:AlternateContent>
      </w:r>
    </w:p>
    <w:p w:rsidR="005A644E" w:rsidRDefault="00073023">
      <w:pPr>
        <w:spacing w:after="0"/>
        <w:ind w:left="-5" w:right="0"/>
      </w:pPr>
      <w:r>
        <w:rPr>
          <w:sz w:val="28"/>
        </w:rPr>
        <w:t xml:space="preserve">  山东理工大学校长办公室                 2017年9月7日印发</w:t>
      </w:r>
      <w:r>
        <w:t xml:space="preserve"> </w:t>
      </w:r>
    </w:p>
    <w:p w:rsidR="005A644E" w:rsidRDefault="00073023">
      <w:pPr>
        <w:spacing w:after="0"/>
        <w:ind w:left="-29" w:right="0" w:firstLine="0"/>
      </w:pPr>
      <w:r>
        <w:rPr>
          <w:rFonts w:ascii="Calibri" w:eastAsia="Calibri" w:hAnsi="Calibri" w:cs="Calibri"/>
          <w:noProof/>
          <w:sz w:val="22"/>
        </w:rPr>
        <mc:AlternateContent>
          <mc:Choice Requires="wpg">
            <w:drawing>
              <wp:inline distT="0" distB="0" distL="0" distR="0">
                <wp:extent cx="5653406" cy="9144"/>
                <wp:effectExtent l="0" t="0" r="0" b="0"/>
                <wp:docPr id="2773" name="Group 2773"/>
                <wp:cNvGraphicFramePr/>
                <a:graphic xmlns:a="http://schemas.openxmlformats.org/drawingml/2006/main">
                  <a:graphicData uri="http://schemas.microsoft.com/office/word/2010/wordprocessingGroup">
                    <wpg:wgp>
                      <wpg:cNvGrpSpPr/>
                      <wpg:grpSpPr>
                        <a:xfrm>
                          <a:off x="0" y="0"/>
                          <a:ext cx="5653406" cy="9144"/>
                          <a:chOff x="0" y="0"/>
                          <a:chExt cx="5653406" cy="9144"/>
                        </a:xfrm>
                      </wpg:grpSpPr>
                      <wps:wsp>
                        <wps:cNvPr id="3118" name="Shape 3118"/>
                        <wps:cNvSpPr/>
                        <wps:spPr>
                          <a:xfrm>
                            <a:off x="0" y="0"/>
                            <a:ext cx="5653406" cy="9144"/>
                          </a:xfrm>
                          <a:custGeom>
                            <a:avLst/>
                            <a:gdLst/>
                            <a:ahLst/>
                            <a:cxnLst/>
                            <a:rect l="0" t="0" r="0" b="0"/>
                            <a:pathLst>
                              <a:path w="5653406" h="9144">
                                <a:moveTo>
                                  <a:pt x="0" y="0"/>
                                </a:moveTo>
                                <a:lnTo>
                                  <a:pt x="5653406" y="0"/>
                                </a:lnTo>
                                <a:lnTo>
                                  <a:pt x="565340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2773" style="width:445.15pt;height:0.720032pt;mso-position-horizontal-relative:char;mso-position-vertical-relative:line" coordsize="56534,91">
                <v:shape id="Shape 3119" style="position:absolute;width:56534;height:91;left:0;top:0;" coordsize="5653406,9144" path="m0,0l5653406,0l5653406,9144l0,9144l0,0">
                  <v:stroke weight="0pt" endcap="flat" joinstyle="miter" miterlimit="10" on="false" color="#000000" opacity="0"/>
                  <v:fill on="true" color="#000000"/>
                </v:shape>
              </v:group>
            </w:pict>
          </mc:Fallback>
        </mc:AlternateContent>
      </w:r>
    </w:p>
    <w:sectPr w:rsidR="005A644E">
      <w:footerReference w:type="even" r:id="rId7"/>
      <w:footerReference w:type="default" r:id="rId8"/>
      <w:footerReference w:type="first" r:id="rId9"/>
      <w:pgSz w:w="11906" w:h="16838"/>
      <w:pgMar w:top="1493" w:right="1313" w:bottom="1840" w:left="1589" w:header="720" w:footer="68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637C" w:rsidRDefault="0098637C">
      <w:pPr>
        <w:spacing w:after="0" w:line="240" w:lineRule="auto"/>
      </w:pPr>
      <w:r>
        <w:separator/>
      </w:r>
    </w:p>
  </w:endnote>
  <w:endnote w:type="continuationSeparator" w:id="0">
    <w:p w:rsidR="0098637C" w:rsidRDefault="009863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FangSong">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FZXiaoBiaoSong-B05S">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SimSun-PUA">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644E" w:rsidRDefault="00073023">
    <w:pPr>
      <w:spacing w:after="0"/>
      <w:ind w:left="281" w:right="0" w:firstLine="0"/>
    </w:pPr>
    <w:r>
      <w:rPr>
        <w:rFonts w:ascii="SimSun-PUA" w:eastAsia="SimSun-PUA" w:hAnsi="SimSun-PUA" w:cs="SimSun-PUA"/>
        <w:sz w:val="28"/>
      </w:rPr>
      <w:t xml:space="preserve">— </w:t>
    </w:r>
    <w:r>
      <w:fldChar w:fldCharType="begin"/>
    </w:r>
    <w:r>
      <w:instrText xml:space="preserve"> PAGE   \* MERGEFORMAT </w:instrText>
    </w:r>
    <w:r>
      <w:fldChar w:fldCharType="separate"/>
    </w:r>
    <w:r w:rsidR="00183633" w:rsidRPr="00183633">
      <w:rPr>
        <w:rFonts w:ascii="SimSun-PUA" w:eastAsia="SimSun-PUA" w:hAnsi="SimSun-PUA" w:cs="SimSun-PUA"/>
        <w:noProof/>
        <w:sz w:val="28"/>
      </w:rPr>
      <w:t>6</w:t>
    </w:r>
    <w:r>
      <w:rPr>
        <w:rFonts w:ascii="SimSun-PUA" w:eastAsia="SimSun-PUA" w:hAnsi="SimSun-PUA" w:cs="SimSun-PUA"/>
        <w:sz w:val="28"/>
      </w:rPr>
      <w:fldChar w:fldCharType="end"/>
    </w:r>
    <w:r>
      <w:rPr>
        <w:rFonts w:ascii="SimSun-PUA" w:eastAsia="SimSun-PUA" w:hAnsi="SimSun-PUA" w:cs="SimSun-PUA"/>
        <w:sz w:val="28"/>
      </w:rPr>
      <w:t xml:space="preserve"> — </w:t>
    </w:r>
  </w:p>
  <w:p w:rsidR="005A644E" w:rsidRDefault="00073023">
    <w:pPr>
      <w:spacing w:after="0"/>
      <w:ind w:left="0" w:right="0" w:firstLine="0"/>
    </w:pPr>
    <w:r>
      <w:rPr>
        <w:rFonts w:ascii="Times New Roman" w:eastAsia="Times New Roman" w:hAnsi="Times New Roman" w:cs="Times New Roman"/>
        <w:sz w:val="18"/>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644E" w:rsidRDefault="00073023">
    <w:pPr>
      <w:spacing w:after="0"/>
      <w:ind w:left="0" w:right="437" w:firstLine="0"/>
      <w:jc w:val="right"/>
    </w:pPr>
    <w:r>
      <w:rPr>
        <w:rFonts w:ascii="SimSun-PUA" w:eastAsia="SimSun-PUA" w:hAnsi="SimSun-PUA" w:cs="SimSun-PUA"/>
        <w:sz w:val="28"/>
      </w:rPr>
      <w:t xml:space="preserve">— </w:t>
    </w:r>
    <w:r>
      <w:fldChar w:fldCharType="begin"/>
    </w:r>
    <w:r>
      <w:instrText xml:space="preserve"> PAGE   \* MERGEFORMAT </w:instrText>
    </w:r>
    <w:r>
      <w:fldChar w:fldCharType="separate"/>
    </w:r>
    <w:r w:rsidR="00183633" w:rsidRPr="00183633">
      <w:rPr>
        <w:rFonts w:ascii="SimSun-PUA" w:eastAsia="SimSun-PUA" w:hAnsi="SimSun-PUA" w:cs="SimSun-PUA"/>
        <w:noProof/>
        <w:sz w:val="28"/>
      </w:rPr>
      <w:t>5</w:t>
    </w:r>
    <w:r>
      <w:rPr>
        <w:rFonts w:ascii="SimSun-PUA" w:eastAsia="SimSun-PUA" w:hAnsi="SimSun-PUA" w:cs="SimSun-PUA"/>
        <w:sz w:val="28"/>
      </w:rPr>
      <w:fldChar w:fldCharType="end"/>
    </w:r>
    <w:r>
      <w:rPr>
        <w:rFonts w:ascii="SimSun-PUA" w:eastAsia="SimSun-PUA" w:hAnsi="SimSun-PUA" w:cs="SimSun-PUA"/>
        <w:sz w:val="28"/>
      </w:rPr>
      <w:t xml:space="preserve"> — </w:t>
    </w:r>
  </w:p>
  <w:p w:rsidR="005A644E" w:rsidRDefault="00073023">
    <w:pPr>
      <w:spacing w:after="0"/>
      <w:ind w:left="0" w:right="0" w:firstLine="0"/>
    </w:pPr>
    <w:r>
      <w:rPr>
        <w:rFonts w:ascii="Times New Roman" w:eastAsia="Times New Roman" w:hAnsi="Times New Roman" w:cs="Times New Roman"/>
        <w:sz w:val="18"/>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644E" w:rsidRDefault="00073023">
    <w:pPr>
      <w:spacing w:after="0"/>
      <w:ind w:left="0" w:right="437" w:firstLine="0"/>
      <w:jc w:val="right"/>
    </w:pPr>
    <w:r>
      <w:rPr>
        <w:rFonts w:ascii="SimSun-PUA" w:eastAsia="SimSun-PUA" w:hAnsi="SimSun-PUA" w:cs="SimSun-PUA"/>
        <w:sz w:val="28"/>
      </w:rPr>
      <w:t xml:space="preserve">— </w:t>
    </w:r>
    <w:r>
      <w:fldChar w:fldCharType="begin"/>
    </w:r>
    <w:r>
      <w:instrText xml:space="preserve"> PAGE   \* MERGEFORMAT </w:instrText>
    </w:r>
    <w:r>
      <w:fldChar w:fldCharType="separate"/>
    </w:r>
    <w:r>
      <w:rPr>
        <w:rFonts w:ascii="SimSun-PUA" w:eastAsia="SimSun-PUA" w:hAnsi="SimSun-PUA" w:cs="SimSun-PUA"/>
        <w:sz w:val="28"/>
      </w:rPr>
      <w:t>1</w:t>
    </w:r>
    <w:r>
      <w:rPr>
        <w:rFonts w:ascii="SimSun-PUA" w:eastAsia="SimSun-PUA" w:hAnsi="SimSun-PUA" w:cs="SimSun-PUA"/>
        <w:sz w:val="28"/>
      </w:rPr>
      <w:fldChar w:fldCharType="end"/>
    </w:r>
    <w:r>
      <w:rPr>
        <w:rFonts w:ascii="SimSun-PUA" w:eastAsia="SimSun-PUA" w:hAnsi="SimSun-PUA" w:cs="SimSun-PUA"/>
        <w:sz w:val="28"/>
      </w:rPr>
      <w:t xml:space="preserve"> — </w:t>
    </w:r>
  </w:p>
  <w:p w:rsidR="005A644E" w:rsidRDefault="00073023">
    <w:pPr>
      <w:spacing w:after="0"/>
      <w:ind w:left="0" w:right="0" w:firstLine="0"/>
    </w:pPr>
    <w:r>
      <w:rPr>
        <w:rFonts w:ascii="Times New Roman" w:eastAsia="Times New Roman" w:hAnsi="Times New Roman" w:cs="Times New Roman"/>
        <w:sz w:val="18"/>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637C" w:rsidRDefault="0098637C">
      <w:pPr>
        <w:spacing w:after="0" w:line="240" w:lineRule="auto"/>
      </w:pPr>
      <w:r>
        <w:separator/>
      </w:r>
    </w:p>
  </w:footnote>
  <w:footnote w:type="continuationSeparator" w:id="0">
    <w:p w:rsidR="0098637C" w:rsidRDefault="009863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E6118"/>
    <w:multiLevelType w:val="hybridMultilevel"/>
    <w:tmpl w:val="422A984A"/>
    <w:lvl w:ilvl="0" w:tplc="CFEE522E">
      <w:start w:val="1"/>
      <w:numFmt w:val="ideographDigital"/>
      <w:lvlText w:val="（%1）"/>
      <w:lvlJc w:val="left"/>
      <w:pPr>
        <w:ind w:left="0"/>
      </w:pPr>
      <w:rPr>
        <w:rFonts w:ascii="FangSong" w:eastAsia="FangSong" w:hAnsi="FangSong" w:cs="FangSong"/>
        <w:b w:val="0"/>
        <w:i w:val="0"/>
        <w:strike w:val="0"/>
        <w:dstrike w:val="0"/>
        <w:color w:val="000000"/>
        <w:sz w:val="32"/>
        <w:szCs w:val="32"/>
        <w:u w:val="none" w:color="000000"/>
        <w:bdr w:val="none" w:sz="0" w:space="0" w:color="auto"/>
        <w:shd w:val="clear" w:color="auto" w:fill="auto"/>
        <w:vertAlign w:val="baseline"/>
      </w:rPr>
    </w:lvl>
    <w:lvl w:ilvl="1" w:tplc="135050F6">
      <w:start w:val="1"/>
      <w:numFmt w:val="lowerLetter"/>
      <w:lvlText w:val="%2"/>
      <w:lvlJc w:val="left"/>
      <w:pPr>
        <w:ind w:left="1721"/>
      </w:pPr>
      <w:rPr>
        <w:rFonts w:ascii="FangSong" w:eastAsia="FangSong" w:hAnsi="FangSong" w:cs="FangSong"/>
        <w:b w:val="0"/>
        <w:i w:val="0"/>
        <w:strike w:val="0"/>
        <w:dstrike w:val="0"/>
        <w:color w:val="000000"/>
        <w:sz w:val="32"/>
        <w:szCs w:val="32"/>
        <w:u w:val="none" w:color="000000"/>
        <w:bdr w:val="none" w:sz="0" w:space="0" w:color="auto"/>
        <w:shd w:val="clear" w:color="auto" w:fill="auto"/>
        <w:vertAlign w:val="baseline"/>
      </w:rPr>
    </w:lvl>
    <w:lvl w:ilvl="2" w:tplc="670EF0C0">
      <w:start w:val="1"/>
      <w:numFmt w:val="lowerRoman"/>
      <w:lvlText w:val="%3"/>
      <w:lvlJc w:val="left"/>
      <w:pPr>
        <w:ind w:left="2441"/>
      </w:pPr>
      <w:rPr>
        <w:rFonts w:ascii="FangSong" w:eastAsia="FangSong" w:hAnsi="FangSong" w:cs="FangSong"/>
        <w:b w:val="0"/>
        <w:i w:val="0"/>
        <w:strike w:val="0"/>
        <w:dstrike w:val="0"/>
        <w:color w:val="000000"/>
        <w:sz w:val="32"/>
        <w:szCs w:val="32"/>
        <w:u w:val="none" w:color="000000"/>
        <w:bdr w:val="none" w:sz="0" w:space="0" w:color="auto"/>
        <w:shd w:val="clear" w:color="auto" w:fill="auto"/>
        <w:vertAlign w:val="baseline"/>
      </w:rPr>
    </w:lvl>
    <w:lvl w:ilvl="3" w:tplc="85FC82F4">
      <w:start w:val="1"/>
      <w:numFmt w:val="decimal"/>
      <w:lvlText w:val="%4"/>
      <w:lvlJc w:val="left"/>
      <w:pPr>
        <w:ind w:left="3161"/>
      </w:pPr>
      <w:rPr>
        <w:rFonts w:ascii="FangSong" w:eastAsia="FangSong" w:hAnsi="FangSong" w:cs="FangSong"/>
        <w:b w:val="0"/>
        <w:i w:val="0"/>
        <w:strike w:val="0"/>
        <w:dstrike w:val="0"/>
        <w:color w:val="000000"/>
        <w:sz w:val="32"/>
        <w:szCs w:val="32"/>
        <w:u w:val="none" w:color="000000"/>
        <w:bdr w:val="none" w:sz="0" w:space="0" w:color="auto"/>
        <w:shd w:val="clear" w:color="auto" w:fill="auto"/>
        <w:vertAlign w:val="baseline"/>
      </w:rPr>
    </w:lvl>
    <w:lvl w:ilvl="4" w:tplc="33AC9460">
      <w:start w:val="1"/>
      <w:numFmt w:val="lowerLetter"/>
      <w:lvlText w:val="%5"/>
      <w:lvlJc w:val="left"/>
      <w:pPr>
        <w:ind w:left="3881"/>
      </w:pPr>
      <w:rPr>
        <w:rFonts w:ascii="FangSong" w:eastAsia="FangSong" w:hAnsi="FangSong" w:cs="FangSong"/>
        <w:b w:val="0"/>
        <w:i w:val="0"/>
        <w:strike w:val="0"/>
        <w:dstrike w:val="0"/>
        <w:color w:val="000000"/>
        <w:sz w:val="32"/>
        <w:szCs w:val="32"/>
        <w:u w:val="none" w:color="000000"/>
        <w:bdr w:val="none" w:sz="0" w:space="0" w:color="auto"/>
        <w:shd w:val="clear" w:color="auto" w:fill="auto"/>
        <w:vertAlign w:val="baseline"/>
      </w:rPr>
    </w:lvl>
    <w:lvl w:ilvl="5" w:tplc="B11ACCC4">
      <w:start w:val="1"/>
      <w:numFmt w:val="lowerRoman"/>
      <w:lvlText w:val="%6"/>
      <w:lvlJc w:val="left"/>
      <w:pPr>
        <w:ind w:left="4601"/>
      </w:pPr>
      <w:rPr>
        <w:rFonts w:ascii="FangSong" w:eastAsia="FangSong" w:hAnsi="FangSong" w:cs="FangSong"/>
        <w:b w:val="0"/>
        <w:i w:val="0"/>
        <w:strike w:val="0"/>
        <w:dstrike w:val="0"/>
        <w:color w:val="000000"/>
        <w:sz w:val="32"/>
        <w:szCs w:val="32"/>
        <w:u w:val="none" w:color="000000"/>
        <w:bdr w:val="none" w:sz="0" w:space="0" w:color="auto"/>
        <w:shd w:val="clear" w:color="auto" w:fill="auto"/>
        <w:vertAlign w:val="baseline"/>
      </w:rPr>
    </w:lvl>
    <w:lvl w:ilvl="6" w:tplc="0E9275C6">
      <w:start w:val="1"/>
      <w:numFmt w:val="decimal"/>
      <w:lvlText w:val="%7"/>
      <w:lvlJc w:val="left"/>
      <w:pPr>
        <w:ind w:left="5321"/>
      </w:pPr>
      <w:rPr>
        <w:rFonts w:ascii="FangSong" w:eastAsia="FangSong" w:hAnsi="FangSong" w:cs="FangSong"/>
        <w:b w:val="0"/>
        <w:i w:val="0"/>
        <w:strike w:val="0"/>
        <w:dstrike w:val="0"/>
        <w:color w:val="000000"/>
        <w:sz w:val="32"/>
        <w:szCs w:val="32"/>
        <w:u w:val="none" w:color="000000"/>
        <w:bdr w:val="none" w:sz="0" w:space="0" w:color="auto"/>
        <w:shd w:val="clear" w:color="auto" w:fill="auto"/>
        <w:vertAlign w:val="baseline"/>
      </w:rPr>
    </w:lvl>
    <w:lvl w:ilvl="7" w:tplc="BCEC40AA">
      <w:start w:val="1"/>
      <w:numFmt w:val="lowerLetter"/>
      <w:lvlText w:val="%8"/>
      <w:lvlJc w:val="left"/>
      <w:pPr>
        <w:ind w:left="6041"/>
      </w:pPr>
      <w:rPr>
        <w:rFonts w:ascii="FangSong" w:eastAsia="FangSong" w:hAnsi="FangSong" w:cs="FangSong"/>
        <w:b w:val="0"/>
        <w:i w:val="0"/>
        <w:strike w:val="0"/>
        <w:dstrike w:val="0"/>
        <w:color w:val="000000"/>
        <w:sz w:val="32"/>
        <w:szCs w:val="32"/>
        <w:u w:val="none" w:color="000000"/>
        <w:bdr w:val="none" w:sz="0" w:space="0" w:color="auto"/>
        <w:shd w:val="clear" w:color="auto" w:fill="auto"/>
        <w:vertAlign w:val="baseline"/>
      </w:rPr>
    </w:lvl>
    <w:lvl w:ilvl="8" w:tplc="3D26550C">
      <w:start w:val="1"/>
      <w:numFmt w:val="lowerRoman"/>
      <w:lvlText w:val="%9"/>
      <w:lvlJc w:val="left"/>
      <w:pPr>
        <w:ind w:left="6761"/>
      </w:pPr>
      <w:rPr>
        <w:rFonts w:ascii="FangSong" w:eastAsia="FangSong" w:hAnsi="FangSong" w:cs="FangSong"/>
        <w:b w:val="0"/>
        <w:i w:val="0"/>
        <w:strike w:val="0"/>
        <w:dstrike w:val="0"/>
        <w:color w:val="000000"/>
        <w:sz w:val="32"/>
        <w:szCs w:val="32"/>
        <w:u w:val="none" w:color="000000"/>
        <w:bdr w:val="none" w:sz="0" w:space="0" w:color="auto"/>
        <w:shd w:val="clear" w:color="auto" w:fill="auto"/>
        <w:vertAlign w:val="baseline"/>
      </w:rPr>
    </w:lvl>
  </w:abstractNum>
  <w:abstractNum w:abstractNumId="1" w15:restartNumberingAfterBreak="0">
    <w:nsid w:val="0BFF6E86"/>
    <w:multiLevelType w:val="hybridMultilevel"/>
    <w:tmpl w:val="A0927DCC"/>
    <w:lvl w:ilvl="0" w:tplc="59EC25DA">
      <w:start w:val="1"/>
      <w:numFmt w:val="ideographDigital"/>
      <w:lvlText w:val="（%1）"/>
      <w:lvlJc w:val="left"/>
      <w:pPr>
        <w:ind w:left="1586"/>
      </w:pPr>
      <w:rPr>
        <w:rFonts w:ascii="FangSong" w:eastAsia="FangSong" w:hAnsi="FangSong" w:cs="FangSong"/>
        <w:b w:val="0"/>
        <w:i w:val="0"/>
        <w:strike w:val="0"/>
        <w:dstrike w:val="0"/>
        <w:color w:val="000000"/>
        <w:sz w:val="32"/>
        <w:szCs w:val="32"/>
        <w:u w:val="none" w:color="000000"/>
        <w:bdr w:val="none" w:sz="0" w:space="0" w:color="auto"/>
        <w:shd w:val="clear" w:color="auto" w:fill="auto"/>
        <w:vertAlign w:val="baseline"/>
      </w:rPr>
    </w:lvl>
    <w:lvl w:ilvl="1" w:tplc="884671D8">
      <w:start w:val="1"/>
      <w:numFmt w:val="lowerLetter"/>
      <w:lvlText w:val="%2"/>
      <w:lvlJc w:val="left"/>
      <w:pPr>
        <w:ind w:left="1721"/>
      </w:pPr>
      <w:rPr>
        <w:rFonts w:ascii="FangSong" w:eastAsia="FangSong" w:hAnsi="FangSong" w:cs="FangSong"/>
        <w:b w:val="0"/>
        <w:i w:val="0"/>
        <w:strike w:val="0"/>
        <w:dstrike w:val="0"/>
        <w:color w:val="000000"/>
        <w:sz w:val="32"/>
        <w:szCs w:val="32"/>
        <w:u w:val="none" w:color="000000"/>
        <w:bdr w:val="none" w:sz="0" w:space="0" w:color="auto"/>
        <w:shd w:val="clear" w:color="auto" w:fill="auto"/>
        <w:vertAlign w:val="baseline"/>
      </w:rPr>
    </w:lvl>
    <w:lvl w:ilvl="2" w:tplc="F95E282A">
      <w:start w:val="1"/>
      <w:numFmt w:val="lowerRoman"/>
      <w:lvlText w:val="%3"/>
      <w:lvlJc w:val="left"/>
      <w:pPr>
        <w:ind w:left="2441"/>
      </w:pPr>
      <w:rPr>
        <w:rFonts w:ascii="FangSong" w:eastAsia="FangSong" w:hAnsi="FangSong" w:cs="FangSong"/>
        <w:b w:val="0"/>
        <w:i w:val="0"/>
        <w:strike w:val="0"/>
        <w:dstrike w:val="0"/>
        <w:color w:val="000000"/>
        <w:sz w:val="32"/>
        <w:szCs w:val="32"/>
        <w:u w:val="none" w:color="000000"/>
        <w:bdr w:val="none" w:sz="0" w:space="0" w:color="auto"/>
        <w:shd w:val="clear" w:color="auto" w:fill="auto"/>
        <w:vertAlign w:val="baseline"/>
      </w:rPr>
    </w:lvl>
    <w:lvl w:ilvl="3" w:tplc="3E165F9A">
      <w:start w:val="1"/>
      <w:numFmt w:val="decimal"/>
      <w:lvlText w:val="%4"/>
      <w:lvlJc w:val="left"/>
      <w:pPr>
        <w:ind w:left="3161"/>
      </w:pPr>
      <w:rPr>
        <w:rFonts w:ascii="FangSong" w:eastAsia="FangSong" w:hAnsi="FangSong" w:cs="FangSong"/>
        <w:b w:val="0"/>
        <w:i w:val="0"/>
        <w:strike w:val="0"/>
        <w:dstrike w:val="0"/>
        <w:color w:val="000000"/>
        <w:sz w:val="32"/>
        <w:szCs w:val="32"/>
        <w:u w:val="none" w:color="000000"/>
        <w:bdr w:val="none" w:sz="0" w:space="0" w:color="auto"/>
        <w:shd w:val="clear" w:color="auto" w:fill="auto"/>
        <w:vertAlign w:val="baseline"/>
      </w:rPr>
    </w:lvl>
    <w:lvl w:ilvl="4" w:tplc="FF0C3E16">
      <w:start w:val="1"/>
      <w:numFmt w:val="lowerLetter"/>
      <w:lvlText w:val="%5"/>
      <w:lvlJc w:val="left"/>
      <w:pPr>
        <w:ind w:left="3881"/>
      </w:pPr>
      <w:rPr>
        <w:rFonts w:ascii="FangSong" w:eastAsia="FangSong" w:hAnsi="FangSong" w:cs="FangSong"/>
        <w:b w:val="0"/>
        <w:i w:val="0"/>
        <w:strike w:val="0"/>
        <w:dstrike w:val="0"/>
        <w:color w:val="000000"/>
        <w:sz w:val="32"/>
        <w:szCs w:val="32"/>
        <w:u w:val="none" w:color="000000"/>
        <w:bdr w:val="none" w:sz="0" w:space="0" w:color="auto"/>
        <w:shd w:val="clear" w:color="auto" w:fill="auto"/>
        <w:vertAlign w:val="baseline"/>
      </w:rPr>
    </w:lvl>
    <w:lvl w:ilvl="5" w:tplc="1FD6971A">
      <w:start w:val="1"/>
      <w:numFmt w:val="lowerRoman"/>
      <w:lvlText w:val="%6"/>
      <w:lvlJc w:val="left"/>
      <w:pPr>
        <w:ind w:left="4601"/>
      </w:pPr>
      <w:rPr>
        <w:rFonts w:ascii="FangSong" w:eastAsia="FangSong" w:hAnsi="FangSong" w:cs="FangSong"/>
        <w:b w:val="0"/>
        <w:i w:val="0"/>
        <w:strike w:val="0"/>
        <w:dstrike w:val="0"/>
        <w:color w:val="000000"/>
        <w:sz w:val="32"/>
        <w:szCs w:val="32"/>
        <w:u w:val="none" w:color="000000"/>
        <w:bdr w:val="none" w:sz="0" w:space="0" w:color="auto"/>
        <w:shd w:val="clear" w:color="auto" w:fill="auto"/>
        <w:vertAlign w:val="baseline"/>
      </w:rPr>
    </w:lvl>
    <w:lvl w:ilvl="6" w:tplc="46208B6C">
      <w:start w:val="1"/>
      <w:numFmt w:val="decimal"/>
      <w:lvlText w:val="%7"/>
      <w:lvlJc w:val="left"/>
      <w:pPr>
        <w:ind w:left="5321"/>
      </w:pPr>
      <w:rPr>
        <w:rFonts w:ascii="FangSong" w:eastAsia="FangSong" w:hAnsi="FangSong" w:cs="FangSong"/>
        <w:b w:val="0"/>
        <w:i w:val="0"/>
        <w:strike w:val="0"/>
        <w:dstrike w:val="0"/>
        <w:color w:val="000000"/>
        <w:sz w:val="32"/>
        <w:szCs w:val="32"/>
        <w:u w:val="none" w:color="000000"/>
        <w:bdr w:val="none" w:sz="0" w:space="0" w:color="auto"/>
        <w:shd w:val="clear" w:color="auto" w:fill="auto"/>
        <w:vertAlign w:val="baseline"/>
      </w:rPr>
    </w:lvl>
    <w:lvl w:ilvl="7" w:tplc="1DFCD23E">
      <w:start w:val="1"/>
      <w:numFmt w:val="lowerLetter"/>
      <w:lvlText w:val="%8"/>
      <w:lvlJc w:val="left"/>
      <w:pPr>
        <w:ind w:left="6041"/>
      </w:pPr>
      <w:rPr>
        <w:rFonts w:ascii="FangSong" w:eastAsia="FangSong" w:hAnsi="FangSong" w:cs="FangSong"/>
        <w:b w:val="0"/>
        <w:i w:val="0"/>
        <w:strike w:val="0"/>
        <w:dstrike w:val="0"/>
        <w:color w:val="000000"/>
        <w:sz w:val="32"/>
        <w:szCs w:val="32"/>
        <w:u w:val="none" w:color="000000"/>
        <w:bdr w:val="none" w:sz="0" w:space="0" w:color="auto"/>
        <w:shd w:val="clear" w:color="auto" w:fill="auto"/>
        <w:vertAlign w:val="baseline"/>
      </w:rPr>
    </w:lvl>
    <w:lvl w:ilvl="8" w:tplc="26E8D962">
      <w:start w:val="1"/>
      <w:numFmt w:val="lowerRoman"/>
      <w:lvlText w:val="%9"/>
      <w:lvlJc w:val="left"/>
      <w:pPr>
        <w:ind w:left="6761"/>
      </w:pPr>
      <w:rPr>
        <w:rFonts w:ascii="FangSong" w:eastAsia="FangSong" w:hAnsi="FangSong" w:cs="FangSong"/>
        <w:b w:val="0"/>
        <w:i w:val="0"/>
        <w:strike w:val="0"/>
        <w:dstrike w:val="0"/>
        <w:color w:val="000000"/>
        <w:sz w:val="32"/>
        <w:szCs w:val="32"/>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44E"/>
    <w:rsid w:val="00073023"/>
    <w:rsid w:val="00183633"/>
    <w:rsid w:val="003F0DC5"/>
    <w:rsid w:val="005A644E"/>
    <w:rsid w:val="0098637C"/>
    <w:rsid w:val="00DB13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81FEC"/>
  <w15:docId w15:val="{69226172-28C5-4178-9530-C18E181FD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11" w:line="259" w:lineRule="auto"/>
      <w:ind w:left="10" w:right="161" w:hanging="10"/>
    </w:pPr>
    <w:rPr>
      <w:rFonts w:ascii="FangSong" w:eastAsia="FangSong" w:hAnsi="FangSong" w:cs="FangSong"/>
      <w:color w:val="000000"/>
      <w:sz w:val="32"/>
    </w:rPr>
  </w:style>
  <w:style w:type="paragraph" w:styleId="1">
    <w:name w:val="heading 1"/>
    <w:next w:val="a"/>
    <w:link w:val="10"/>
    <w:uiPriority w:val="9"/>
    <w:unhideWhenUsed/>
    <w:qFormat/>
    <w:pPr>
      <w:keepNext/>
      <w:keepLines/>
      <w:spacing w:line="259" w:lineRule="auto"/>
      <w:ind w:left="10" w:right="161" w:hanging="10"/>
      <w:jc w:val="center"/>
      <w:outlineLvl w:val="0"/>
    </w:pPr>
    <w:rPr>
      <w:rFonts w:ascii="FZXiaoBiaoSong-B05S" w:eastAsia="FZXiaoBiaoSong-B05S" w:hAnsi="FZXiaoBiaoSong-B05S" w:cs="FZXiaoBiaoSong-B05S"/>
      <w:color w:val="000000"/>
      <w:sz w:val="44"/>
    </w:rPr>
  </w:style>
  <w:style w:type="paragraph" w:styleId="2">
    <w:name w:val="heading 2"/>
    <w:next w:val="a"/>
    <w:link w:val="20"/>
    <w:uiPriority w:val="9"/>
    <w:unhideWhenUsed/>
    <w:qFormat/>
    <w:pPr>
      <w:keepNext/>
      <w:keepLines/>
      <w:spacing w:after="112" w:line="259" w:lineRule="auto"/>
      <w:ind w:left="651" w:hanging="10"/>
      <w:outlineLvl w:val="1"/>
    </w:pPr>
    <w:rPr>
      <w:rFonts w:ascii="黑体" w:eastAsia="黑体" w:hAnsi="黑体" w:cs="黑体"/>
      <w:color w:val="00000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rPr>
      <w:rFonts w:ascii="黑体" w:eastAsia="黑体" w:hAnsi="黑体" w:cs="黑体"/>
      <w:color w:val="000000"/>
      <w:sz w:val="32"/>
    </w:rPr>
  </w:style>
  <w:style w:type="character" w:customStyle="1" w:styleId="10">
    <w:name w:val="标题 1 字符"/>
    <w:link w:val="1"/>
    <w:rPr>
      <w:rFonts w:ascii="FZXiaoBiaoSong-B05S" w:eastAsia="FZXiaoBiaoSong-B05S" w:hAnsi="FZXiaoBiaoSong-B05S" w:cs="FZXiaoBiaoSong-B05S"/>
      <w:color w:val="000000"/>
      <w:sz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360</Words>
  <Characters>2053</Characters>
  <Application>Microsoft Office Word</Application>
  <DocSecurity>0</DocSecurity>
  <Lines>17</Lines>
  <Paragraphs>4</Paragraphs>
  <ScaleCrop>false</ScaleCrop>
  <Company/>
  <LinksUpToDate>false</LinksUpToDate>
  <CharactersWithSpaces>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dc:creator>
  <cp:keywords/>
  <cp:lastModifiedBy>nan</cp:lastModifiedBy>
  <cp:revision>4</cp:revision>
  <dcterms:created xsi:type="dcterms:W3CDTF">2017-10-19T00:23:00Z</dcterms:created>
  <dcterms:modified xsi:type="dcterms:W3CDTF">2017-10-19T00:25:00Z</dcterms:modified>
</cp:coreProperties>
</file>