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9F" w:rsidRPr="000A6810" w:rsidRDefault="000A6810">
      <w:pPr>
        <w:rPr>
          <w:rFonts w:ascii="仿宋" w:eastAsia="仿宋" w:hAnsi="仿宋"/>
          <w:b/>
          <w:sz w:val="32"/>
          <w:szCs w:val="32"/>
        </w:rPr>
      </w:pPr>
      <w:r w:rsidRPr="000A6810">
        <w:rPr>
          <w:rFonts w:ascii="仿宋" w:eastAsia="仿宋" w:hAnsi="仿宋" w:hint="eastAsia"/>
          <w:b/>
          <w:sz w:val="32"/>
          <w:szCs w:val="32"/>
        </w:rPr>
        <w:t>附件5.1：</w:t>
      </w:r>
      <w:bookmarkStart w:id="0" w:name="_GoBack"/>
      <w:bookmarkEnd w:id="0"/>
    </w:p>
    <w:p w:rsidR="000A6810" w:rsidRDefault="000A6810"/>
    <w:p w:rsidR="000A6810" w:rsidRDefault="000A6810">
      <w:pPr>
        <w:rPr>
          <w:rFonts w:hint="eastAsia"/>
        </w:rPr>
      </w:pPr>
      <w:r>
        <w:rPr>
          <w:noProof/>
        </w:rPr>
        <w:drawing>
          <wp:inline distT="0" distB="0" distL="0" distR="0" wp14:anchorId="59BD558C" wp14:editId="4F87D41F">
            <wp:extent cx="5274310" cy="4600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4600575"/>
                    </a:xfrm>
                    <a:prstGeom prst="rect">
                      <a:avLst/>
                    </a:prstGeom>
                  </pic:spPr>
                </pic:pic>
              </a:graphicData>
            </a:graphic>
          </wp:inline>
        </w:drawing>
      </w:r>
    </w:p>
    <w:p w:rsidR="00523587" w:rsidRDefault="00523587">
      <w:r>
        <w:rPr>
          <w:noProof/>
        </w:rPr>
        <w:drawing>
          <wp:inline distT="0" distB="0" distL="0" distR="0" wp14:anchorId="465858A4" wp14:editId="204A21CA">
            <wp:extent cx="4752381" cy="23714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52381" cy="2371429"/>
                    </a:xfrm>
                    <a:prstGeom prst="rect">
                      <a:avLst/>
                    </a:prstGeom>
                  </pic:spPr>
                </pic:pic>
              </a:graphicData>
            </a:graphic>
          </wp:inline>
        </w:drawing>
      </w:r>
    </w:p>
    <w:p w:rsidR="00213E81" w:rsidRDefault="00213E81"/>
    <w:p w:rsidR="00213E81" w:rsidRDefault="00213E81"/>
    <w:p w:rsidR="00213E81" w:rsidRDefault="00213E81"/>
    <w:p w:rsidR="00213E81" w:rsidRDefault="00213E81"/>
    <w:p w:rsidR="00213E81" w:rsidRDefault="00213E81"/>
    <w:p w:rsidR="00213E81" w:rsidRDefault="00213E81"/>
    <w:p w:rsidR="00213E81" w:rsidRDefault="00213E81"/>
    <w:p w:rsidR="00213E81" w:rsidRDefault="00213E81"/>
    <w:p w:rsidR="00213E81" w:rsidRDefault="00213E81">
      <w:r>
        <w:rPr>
          <w:noProof/>
        </w:rPr>
        <w:drawing>
          <wp:inline distT="0" distB="0" distL="0" distR="0" wp14:anchorId="4B126F7E" wp14:editId="1D4C0027">
            <wp:extent cx="5229079" cy="5924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9123" t="18888" r="29160" b="5484"/>
                    <a:stretch/>
                  </pic:blipFill>
                  <pic:spPr bwMode="auto">
                    <a:xfrm>
                      <a:off x="0" y="0"/>
                      <a:ext cx="5239576" cy="5936444"/>
                    </a:xfrm>
                    <a:prstGeom prst="rect">
                      <a:avLst/>
                    </a:prstGeom>
                    <a:ln>
                      <a:noFill/>
                    </a:ln>
                    <a:extLst>
                      <a:ext uri="{53640926-AAD7-44D8-BBD7-CCE9431645EC}">
                        <a14:shadowObscured xmlns:a14="http://schemas.microsoft.com/office/drawing/2010/main"/>
                      </a:ext>
                    </a:extLst>
                  </pic:spPr>
                </pic:pic>
              </a:graphicData>
            </a:graphic>
          </wp:inline>
        </w:drawing>
      </w:r>
    </w:p>
    <w:p w:rsidR="00213E81" w:rsidRDefault="00213E81">
      <w:pPr>
        <w:rPr>
          <w:rFonts w:hint="eastAsia"/>
        </w:rPr>
      </w:pPr>
    </w:p>
    <w:p w:rsidR="00213E81" w:rsidRDefault="00213E81">
      <w:r>
        <w:rPr>
          <w:noProof/>
        </w:rPr>
        <w:lastRenderedPageBreak/>
        <w:drawing>
          <wp:inline distT="0" distB="0" distL="0" distR="0" wp14:anchorId="0E1E576A" wp14:editId="3D0C27C5">
            <wp:extent cx="4952300" cy="2505075"/>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986" t="23696" r="43294" b="32015"/>
                    <a:stretch/>
                  </pic:blipFill>
                  <pic:spPr bwMode="auto">
                    <a:xfrm>
                      <a:off x="0" y="0"/>
                      <a:ext cx="4978351" cy="2518253"/>
                    </a:xfrm>
                    <a:prstGeom prst="rect">
                      <a:avLst/>
                    </a:prstGeom>
                    <a:ln>
                      <a:noFill/>
                    </a:ln>
                    <a:extLst>
                      <a:ext uri="{53640926-AAD7-44D8-BBD7-CCE9431645EC}">
                        <a14:shadowObscured xmlns:a14="http://schemas.microsoft.com/office/drawing/2010/main"/>
                      </a:ext>
                    </a:extLst>
                  </pic:spPr>
                </pic:pic>
              </a:graphicData>
            </a:graphic>
          </wp:inline>
        </w:drawing>
      </w:r>
    </w:p>
    <w:tbl>
      <w:tblPr>
        <w:tblW w:w="9500" w:type="dxa"/>
        <w:tblInd w:w="108" w:type="dxa"/>
        <w:tblLook w:val="04A0" w:firstRow="1" w:lastRow="0" w:firstColumn="1" w:lastColumn="0" w:noHBand="0" w:noVBand="1"/>
      </w:tblPr>
      <w:tblGrid>
        <w:gridCol w:w="640"/>
        <w:gridCol w:w="1120"/>
        <w:gridCol w:w="6200"/>
        <w:gridCol w:w="1540"/>
      </w:tblGrid>
      <w:tr w:rsidR="00906604" w:rsidRPr="00906604" w:rsidTr="00906604">
        <w:trPr>
          <w:trHeight w:val="1035"/>
        </w:trPr>
        <w:tc>
          <w:tcPr>
            <w:tcW w:w="9500" w:type="dxa"/>
            <w:gridSpan w:val="4"/>
            <w:tcBorders>
              <w:top w:val="nil"/>
              <w:left w:val="nil"/>
              <w:bottom w:val="nil"/>
              <w:right w:val="nil"/>
            </w:tcBorders>
            <w:shd w:val="clear" w:color="auto" w:fill="auto"/>
            <w:vAlign w:val="center"/>
            <w:hideMark/>
          </w:tcPr>
          <w:p w:rsidR="00906604" w:rsidRPr="00906604" w:rsidRDefault="00906604" w:rsidP="00906604">
            <w:pPr>
              <w:widowControl/>
              <w:jc w:val="center"/>
              <w:rPr>
                <w:rFonts w:ascii="宋体" w:eastAsia="宋体" w:hAnsi="宋体" w:cs="宋体"/>
                <w:b/>
                <w:bCs/>
                <w:color w:val="000000"/>
                <w:kern w:val="0"/>
                <w:sz w:val="24"/>
                <w:szCs w:val="24"/>
              </w:rPr>
            </w:pPr>
            <w:r w:rsidRPr="00906604">
              <w:rPr>
                <w:rFonts w:ascii="宋体" w:eastAsia="宋体" w:hAnsi="宋体" w:cs="宋体" w:hint="eastAsia"/>
                <w:b/>
                <w:bCs/>
                <w:color w:val="000000"/>
                <w:kern w:val="0"/>
                <w:sz w:val="36"/>
                <w:szCs w:val="36"/>
              </w:rPr>
              <w:t xml:space="preserve">山东理工大学信息公开事项清单  </w:t>
            </w:r>
            <w:r w:rsidRPr="00906604">
              <w:rPr>
                <w:rFonts w:ascii="宋体" w:eastAsia="宋体" w:hAnsi="宋体" w:cs="宋体" w:hint="eastAsia"/>
                <w:b/>
                <w:bCs/>
                <w:color w:val="000000"/>
                <w:kern w:val="0"/>
                <w:sz w:val="36"/>
                <w:szCs w:val="36"/>
              </w:rPr>
              <w:br/>
            </w:r>
            <w:r w:rsidRPr="00906604">
              <w:rPr>
                <w:rFonts w:ascii="宋体" w:eastAsia="宋体" w:hAnsi="宋体" w:cs="宋体" w:hint="eastAsia"/>
                <w:color w:val="000000"/>
                <w:kern w:val="0"/>
                <w:sz w:val="20"/>
                <w:szCs w:val="20"/>
              </w:rPr>
              <w:t xml:space="preserve">                    </w:t>
            </w:r>
            <w:r w:rsidRPr="00906604">
              <w:rPr>
                <w:rFonts w:ascii="宋体" w:eastAsia="宋体" w:hAnsi="宋体" w:cs="宋体" w:hint="eastAsia"/>
                <w:b/>
                <w:bCs/>
                <w:color w:val="000000"/>
                <w:kern w:val="0"/>
                <w:sz w:val="20"/>
                <w:szCs w:val="20"/>
              </w:rPr>
              <w:t xml:space="preserve">                    </w:t>
            </w:r>
          </w:p>
        </w:tc>
      </w:tr>
      <w:tr w:rsidR="00906604" w:rsidRPr="00906604" w:rsidTr="00906604">
        <w:trPr>
          <w:trHeight w:val="499"/>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b/>
                <w:bCs/>
                <w:color w:val="000000"/>
                <w:kern w:val="0"/>
                <w:sz w:val="24"/>
                <w:szCs w:val="24"/>
              </w:rPr>
            </w:pPr>
            <w:r w:rsidRPr="00906604">
              <w:rPr>
                <w:rFonts w:ascii="仿宋" w:eastAsia="仿宋" w:hAnsi="仿宋" w:cs="宋体" w:hint="eastAsia"/>
                <w:b/>
                <w:bCs/>
                <w:color w:val="000000"/>
                <w:kern w:val="0"/>
                <w:sz w:val="24"/>
                <w:szCs w:val="24"/>
              </w:rPr>
              <w:t>序号</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b/>
                <w:bCs/>
                <w:color w:val="000000"/>
                <w:kern w:val="0"/>
                <w:sz w:val="24"/>
                <w:szCs w:val="24"/>
              </w:rPr>
            </w:pPr>
            <w:r w:rsidRPr="00906604">
              <w:rPr>
                <w:rFonts w:ascii="仿宋" w:eastAsia="仿宋" w:hAnsi="仿宋" w:cs="宋体" w:hint="eastAsia"/>
                <w:b/>
                <w:bCs/>
                <w:color w:val="000000"/>
                <w:kern w:val="0"/>
                <w:sz w:val="24"/>
                <w:szCs w:val="24"/>
              </w:rPr>
              <w:t>类  别</w:t>
            </w:r>
          </w:p>
        </w:tc>
        <w:tc>
          <w:tcPr>
            <w:tcW w:w="6200" w:type="dxa"/>
            <w:tcBorders>
              <w:top w:val="single" w:sz="4" w:space="0" w:color="auto"/>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b/>
                <w:bCs/>
                <w:color w:val="000000"/>
                <w:kern w:val="0"/>
                <w:sz w:val="24"/>
                <w:szCs w:val="24"/>
              </w:rPr>
            </w:pPr>
            <w:r w:rsidRPr="00906604">
              <w:rPr>
                <w:rFonts w:ascii="仿宋" w:eastAsia="仿宋" w:hAnsi="仿宋" w:cs="宋体" w:hint="eastAsia"/>
                <w:b/>
                <w:bCs/>
                <w:color w:val="000000"/>
                <w:kern w:val="0"/>
                <w:sz w:val="24"/>
                <w:szCs w:val="24"/>
              </w:rPr>
              <w:t>公开事项</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b/>
                <w:bCs/>
                <w:color w:val="000000"/>
                <w:kern w:val="0"/>
                <w:sz w:val="24"/>
                <w:szCs w:val="24"/>
              </w:rPr>
            </w:pPr>
            <w:r w:rsidRPr="00906604">
              <w:rPr>
                <w:rFonts w:ascii="仿宋" w:eastAsia="仿宋" w:hAnsi="仿宋" w:cs="宋体" w:hint="eastAsia"/>
                <w:b/>
                <w:bCs/>
                <w:color w:val="000000"/>
                <w:kern w:val="0"/>
                <w:sz w:val="24"/>
                <w:szCs w:val="24"/>
              </w:rPr>
              <w:t>责任部门</w:t>
            </w:r>
          </w:p>
        </w:tc>
      </w:tr>
      <w:tr w:rsidR="00906604" w:rsidRPr="00906604" w:rsidTr="00906604">
        <w:trPr>
          <w:trHeight w:val="780"/>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基本信息</w:t>
            </w:r>
            <w:r w:rsidRPr="00906604">
              <w:rPr>
                <w:rFonts w:ascii="仿宋" w:eastAsia="仿宋" w:hAnsi="仿宋" w:cs="宋体" w:hint="eastAsia"/>
                <w:color w:val="000000"/>
                <w:kern w:val="0"/>
                <w:sz w:val="20"/>
                <w:szCs w:val="20"/>
              </w:rPr>
              <w:br/>
              <w:t>（9项）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（1）办学规模、校级领导班子简介及分工、学校机构设置、学科情况、专业情况、各类在校生情况、教师和专业技术人员数量等办学基本情况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（2）学校章程及制定的各项规章制度</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（3）教职工代表大会相关制度、工作报告</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校长办公室、工会</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（4）学术委员会相关制度、年度报告</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学术委员会办公室</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（5）学校发展规划</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发展规划处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（6）学校重大改革发展方案和重大决策，学校年度工作计划及重点工作安排</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（7）学院、部门、直属单位年度工作计划和总结</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各学院、部门、直属单位</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（8）上级有关法律、法规和规章、规定</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（9）信息公开工作年度报告</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各学院、部门、直属单位</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招生考试信息</w:t>
            </w:r>
            <w:r w:rsidRPr="00906604">
              <w:rPr>
                <w:rFonts w:ascii="仿宋" w:eastAsia="仿宋" w:hAnsi="仿宋" w:cs="宋体" w:hint="eastAsia"/>
                <w:color w:val="000000"/>
                <w:kern w:val="0"/>
                <w:sz w:val="20"/>
                <w:szCs w:val="20"/>
              </w:rPr>
              <w:br/>
              <w:t>（9项）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（10）本专科招生章程及特殊类型招生办法，分批次、分科类招生计划</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w:t>
            </w:r>
          </w:p>
        </w:tc>
      </w:tr>
      <w:tr w:rsidR="00906604" w:rsidRPr="00906604" w:rsidTr="00906604">
        <w:trPr>
          <w:trHeight w:val="60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（11）保送、自主选拔录取、高水平运动员和艺术特长生招生等特殊类型招生入选考生资格及测试结果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w:t>
            </w:r>
          </w:p>
        </w:tc>
      </w:tr>
      <w:tr w:rsidR="00906604" w:rsidRPr="00906604" w:rsidTr="00906604">
        <w:trPr>
          <w:trHeight w:val="63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（12）本专科考生个人录取信息查询渠道和办法，分批次、分科类录取人数和录取最低分</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（13）本专科招生咨询及考生申诉渠道，新生复查期间有关举报、调查及处理结果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w:t>
            </w:r>
          </w:p>
        </w:tc>
      </w:tr>
      <w:tr w:rsidR="00906604" w:rsidRPr="00906604" w:rsidTr="00906604">
        <w:trPr>
          <w:trHeight w:val="60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（14）研究生招生简章、招生专业目录、复试录取办法，各院（系、所）或学科、专业招收研究生人数</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（15）参加研究生复试的考生成绩</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（16）拟录取研究生名单</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（17）研究生招生咨询及申诉渠道</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研究生处</w:t>
            </w:r>
          </w:p>
        </w:tc>
      </w:tr>
      <w:tr w:rsidR="00906604" w:rsidRPr="00906604" w:rsidTr="00906604">
        <w:trPr>
          <w:trHeight w:val="60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（18）继续教育招生章程、招生计划、政策、程序、纪律和录取结果，招生考试咨询及申诉渠道</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远程与继续教育学院</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财务、资产及收费信息</w:t>
            </w:r>
            <w:r w:rsidRPr="00906604">
              <w:rPr>
                <w:rFonts w:ascii="仿宋" w:eastAsia="仿宋" w:hAnsi="仿宋" w:cs="宋体" w:hint="eastAsia"/>
                <w:color w:val="000000"/>
                <w:kern w:val="0"/>
                <w:sz w:val="20"/>
                <w:szCs w:val="20"/>
              </w:rPr>
              <w:br/>
            </w:r>
            <w:r w:rsidRPr="00906604">
              <w:rPr>
                <w:rFonts w:ascii="仿宋" w:eastAsia="仿宋" w:hAnsi="仿宋" w:cs="宋体" w:hint="eastAsia"/>
                <w:color w:val="000000"/>
                <w:kern w:val="0"/>
                <w:sz w:val="20"/>
                <w:szCs w:val="20"/>
              </w:rPr>
              <w:br/>
              <w:t>（11项）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（19）资产、财务管理制度</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资产管理处、计划财务处</w:t>
            </w:r>
          </w:p>
        </w:tc>
      </w:tr>
      <w:tr w:rsidR="00906604" w:rsidRPr="00906604" w:rsidTr="00906604">
        <w:trPr>
          <w:trHeight w:val="915"/>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（20）受捐赠财产的使用与管理情况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计划财务处、校友联谊办公室</w:t>
            </w:r>
          </w:p>
        </w:tc>
      </w:tr>
      <w:tr w:rsidR="00906604" w:rsidRPr="00906604" w:rsidTr="00906604">
        <w:trPr>
          <w:trHeight w:val="114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（21）校办企业资产、负债、国有资产保值增值等信息</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资产管理处、后勤管理处、奥星科技发展有限公司</w:t>
            </w:r>
          </w:p>
        </w:tc>
      </w:tr>
      <w:tr w:rsidR="00906604" w:rsidRPr="00906604" w:rsidTr="00906604">
        <w:trPr>
          <w:trHeight w:val="63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（22）大宗物资、大型教学科研仪器设备、办公设备、图书、药品等采购规定和重大基建工程的招投标程序、结果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资产管理处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（23）公共房屋、设备、设施等资产的分配、使用、管理情况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资产管理处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（24）经营性资产和无形资产的管理与使用情况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资产管理处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（25）图书馆图书藏量、资源建设情况及有关规章制度</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图书馆</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（26）收支预算总表、收入预算表、支出预算表、财政拨款支出预算表</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计划财务处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（27）收支决算总表、收入决算表、支出决算表、财政拨款支出决算表</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计划财务处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（28）工会会费、团费收缴、管理、使用情况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工会、团委</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（29）收费项目、收费依据、收费标准及投诉方式</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计划财务处</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人事师资信息</w:t>
            </w:r>
            <w:r w:rsidRPr="00906604">
              <w:rPr>
                <w:rFonts w:ascii="仿宋" w:eastAsia="仿宋" w:hAnsi="仿宋" w:cs="宋体" w:hint="eastAsia"/>
                <w:color w:val="000000"/>
                <w:kern w:val="0"/>
                <w:sz w:val="20"/>
                <w:szCs w:val="20"/>
              </w:rPr>
              <w:br/>
              <w:t>（9项）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（30）校级领导干部社会兼职情况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组织部</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（31）校级领导干部因公出国（境）情况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国际合作与交流处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（32）岗位设置管理与聘用办法</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人事处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（33）校内中层干部任免、人员招聘信息</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组织部、人事处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（34）人事工作有关政策、流程</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人事处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（35）教师和其他专业技术人员考核、晋级、奖惩、职称评定、聘用办法等</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人事处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（36）教师培养管理政策措施</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人事处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（37）工资、津贴定级与调整方案</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人事处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（38）教职工争议解决办法</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校长办公室、人事处、工会</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教学质量信息</w:t>
            </w:r>
            <w:r w:rsidRPr="00906604">
              <w:rPr>
                <w:rFonts w:ascii="仿宋" w:eastAsia="仿宋" w:hAnsi="仿宋" w:cs="宋体" w:hint="eastAsia"/>
                <w:color w:val="000000"/>
                <w:kern w:val="0"/>
                <w:sz w:val="20"/>
                <w:szCs w:val="20"/>
              </w:rPr>
              <w:br/>
              <w:t>（12项）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（39）本科生占全日制在校生总数的比例、教师数量及结构</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教务处、人事处</w:t>
            </w:r>
          </w:p>
        </w:tc>
      </w:tr>
      <w:tr w:rsidR="00906604" w:rsidRPr="00906604" w:rsidTr="00906604">
        <w:trPr>
          <w:trHeight w:val="81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（40）各类人才培养方案、教学计划制定、调整与执行情况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教务处、研究生处、远程与继续教育学院</w:t>
            </w:r>
          </w:p>
        </w:tc>
      </w:tr>
      <w:tr w:rsidR="00906604" w:rsidRPr="00906604" w:rsidTr="00906604">
        <w:trPr>
          <w:trHeight w:val="555"/>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（41）品牌特色专业、精品课程评选办法与申报建设情况，教学研究课题立项、成果评选办法与结果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（42）实验室、仪器设备基本配置情况及管理制度</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（43）专业设置、当年新增专业、停招专业名单</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教务处、招生就业处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（44）全校开设课程总门数、实践教学学分占总学分比例、选修课学分占总学分比例</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w:t>
            </w:r>
          </w:p>
        </w:tc>
      </w:tr>
      <w:tr w:rsidR="00906604" w:rsidRPr="00906604" w:rsidTr="00906604">
        <w:trPr>
          <w:trHeight w:val="63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（45）主讲本科课程的教授占教授总数的比例、教授授本科课程占课程总门次数的比例</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（46）促进毕业生就业的政策措施和指导服务</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（47）毕业生的规模、结构、就业率、就业流向</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（48）高校毕业生就业质量年度报告</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招生就业处、研究生处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（49）艺术教育发展年度报告</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教务处、宣传部、团委</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（50）本科教学质量报告</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w:t>
            </w:r>
          </w:p>
        </w:tc>
      </w:tr>
      <w:tr w:rsidR="00906604" w:rsidRPr="00906604" w:rsidTr="00906604">
        <w:trPr>
          <w:trHeight w:val="1230"/>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学生教育管理服务信息</w:t>
            </w:r>
            <w:r w:rsidRPr="00906604">
              <w:rPr>
                <w:rFonts w:ascii="仿宋" w:eastAsia="仿宋" w:hAnsi="仿宋" w:cs="宋体" w:hint="eastAsia"/>
                <w:color w:val="000000"/>
                <w:kern w:val="0"/>
                <w:sz w:val="20"/>
                <w:szCs w:val="20"/>
              </w:rPr>
              <w:br/>
              <w:t>（6项）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（51）学籍管理办法、考试管理办法与处理情况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教务处、研究生处、远程与继续教育学院、学生工作处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（52）学生教育管理规章制度</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学生工作处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（53）学生综合评议情况，学生干部选拔程序及结果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学生工作处、团委</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（54）学生奖学金、助学金、学费减免、助学贷款、勤工俭学的申请与管理规定</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学生工作处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（55）学生奖励处罚办法和结果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学生工作处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（56）学生申诉办法和结果</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学风建设信息</w:t>
            </w:r>
            <w:r w:rsidRPr="00906604">
              <w:rPr>
                <w:rFonts w:ascii="仿宋" w:eastAsia="仿宋" w:hAnsi="仿宋" w:cs="宋体" w:hint="eastAsia"/>
                <w:color w:val="000000"/>
                <w:kern w:val="0"/>
                <w:sz w:val="20"/>
                <w:szCs w:val="20"/>
              </w:rPr>
              <w:br/>
              <w:t>（3项）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（57）学风建设机构</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学生工作处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（58）学术规范制度</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科学技术处、社会科学处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（59）学术不端行为查处机制</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科学技术处、社会科学处</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lastRenderedPageBreak/>
              <w:t>8</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学位、学科信息</w:t>
            </w:r>
            <w:r w:rsidRPr="00906604">
              <w:rPr>
                <w:rFonts w:ascii="仿宋" w:eastAsia="仿宋" w:hAnsi="仿宋" w:cs="宋体" w:hint="eastAsia"/>
                <w:color w:val="000000"/>
                <w:kern w:val="0"/>
                <w:sz w:val="20"/>
                <w:szCs w:val="20"/>
              </w:rPr>
              <w:br/>
              <w:t>（7项）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（60）授予博士、硕士、学士学位的基本要求，学位授予情况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研究生处（学位办）</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（61）拟授予硕士、博士学位同等学力人员资格审查和学力水平认定</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（62）新增硕士、博士学位授权学科或专业学位授权点审核办法</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发展规划处、研究生处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（63）重点学科、重点实验室建设情况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发展规划处</w:t>
            </w:r>
          </w:p>
        </w:tc>
      </w:tr>
      <w:tr w:rsidR="00906604" w:rsidRPr="00906604" w:rsidTr="00906604">
        <w:trPr>
          <w:trHeight w:val="780"/>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（64）重大科研课题立项办法、程序与结果，科研项目、奖励、成果的申报、评选办法、程序与结果，知识产权保护的制度、措施与成效，科研成果推广开发情况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科学技术处、社会科学处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（65）学术会议、学术报告会等重大学术活动情况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科学技术处、社会科学处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（66）拟新增学位授权学科或专业学位授权点的申报及论证材料</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发展规划处、研究生处</w:t>
            </w:r>
          </w:p>
        </w:tc>
      </w:tr>
      <w:tr w:rsidR="00906604" w:rsidRPr="00906604" w:rsidTr="00906604">
        <w:trPr>
          <w:trHeight w:val="499"/>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9</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对外交流与合作信息</w:t>
            </w:r>
            <w:r w:rsidRPr="00906604">
              <w:rPr>
                <w:rFonts w:ascii="仿宋" w:eastAsia="仿宋" w:hAnsi="仿宋" w:cs="宋体" w:hint="eastAsia"/>
                <w:color w:val="000000"/>
                <w:kern w:val="0"/>
                <w:sz w:val="20"/>
                <w:szCs w:val="20"/>
              </w:rPr>
              <w:br/>
              <w:t>（2项）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（67）学校对外交流情况、中外合作办学情况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国际合作与交流处</w:t>
            </w:r>
          </w:p>
        </w:tc>
      </w:tr>
      <w:tr w:rsidR="00906604" w:rsidRPr="00906604" w:rsidTr="00906604">
        <w:trPr>
          <w:trHeight w:val="499"/>
        </w:trPr>
        <w:tc>
          <w:tcPr>
            <w:tcW w:w="64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auto"/>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（68）来华留学生、外籍教师管理相关规定</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国际合作与交流处</w:t>
            </w:r>
          </w:p>
        </w:tc>
      </w:tr>
      <w:tr w:rsidR="00906604" w:rsidRPr="00906604" w:rsidTr="00906604">
        <w:trPr>
          <w:trHeight w:val="499"/>
        </w:trPr>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10</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后勤服务保障信息</w:t>
            </w:r>
            <w:r w:rsidRPr="00906604">
              <w:rPr>
                <w:rFonts w:ascii="仿宋" w:eastAsia="仿宋" w:hAnsi="仿宋" w:cs="宋体" w:hint="eastAsia"/>
                <w:color w:val="000000"/>
                <w:kern w:val="0"/>
                <w:sz w:val="20"/>
                <w:szCs w:val="20"/>
              </w:rPr>
              <w:br/>
              <w:t>（5项）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（69）后勤管理服务规章制度及执行情况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后勤管理处</w:t>
            </w:r>
          </w:p>
        </w:tc>
      </w:tr>
      <w:tr w:rsidR="00906604" w:rsidRPr="00906604" w:rsidTr="00906604">
        <w:trPr>
          <w:trHeight w:val="499"/>
        </w:trPr>
        <w:tc>
          <w:tcPr>
            <w:tcW w:w="64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（70）教职工校内住房的建设、出售和调整情况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后勤管理处</w:t>
            </w:r>
          </w:p>
        </w:tc>
      </w:tr>
      <w:tr w:rsidR="00906604" w:rsidRPr="00906604" w:rsidTr="00906604">
        <w:trPr>
          <w:trHeight w:val="600"/>
        </w:trPr>
        <w:tc>
          <w:tcPr>
            <w:tcW w:w="64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（71）学校治安管理、户籍管理、消防安全、综合治理、安全生产监督等规章制度及执行情况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保卫处</w:t>
            </w:r>
          </w:p>
        </w:tc>
      </w:tr>
      <w:tr w:rsidR="00906604" w:rsidRPr="00906604" w:rsidTr="00906604">
        <w:trPr>
          <w:trHeight w:val="499"/>
        </w:trPr>
        <w:tc>
          <w:tcPr>
            <w:tcW w:w="64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（72）校园网建设管理情况，网络信息安全管理与维护情况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网络信息中心</w:t>
            </w:r>
          </w:p>
        </w:tc>
      </w:tr>
      <w:tr w:rsidR="00906604" w:rsidRPr="00906604" w:rsidTr="00906604">
        <w:trPr>
          <w:trHeight w:val="499"/>
        </w:trPr>
        <w:tc>
          <w:tcPr>
            <w:tcW w:w="64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（73）教职工和学生医疗保险情况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校医院</w:t>
            </w:r>
          </w:p>
        </w:tc>
      </w:tr>
      <w:tr w:rsidR="00906604" w:rsidRPr="00906604" w:rsidTr="00906604">
        <w:trPr>
          <w:trHeight w:val="499"/>
        </w:trPr>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11</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906604" w:rsidRPr="00906604" w:rsidRDefault="00906604" w:rsidP="00906604">
            <w:pPr>
              <w:widowControl/>
              <w:jc w:val="center"/>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其他</w:t>
            </w:r>
            <w:r w:rsidRPr="00906604">
              <w:rPr>
                <w:rFonts w:ascii="仿宋" w:eastAsia="仿宋" w:hAnsi="仿宋" w:cs="宋体" w:hint="eastAsia"/>
                <w:color w:val="000000"/>
                <w:kern w:val="0"/>
                <w:sz w:val="20"/>
                <w:szCs w:val="20"/>
              </w:rPr>
              <w:br/>
              <w:t>（3项）</w:t>
            </w: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（74）巡视组反馈意见，落实反馈意见整改情况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组织部</w:t>
            </w:r>
          </w:p>
        </w:tc>
      </w:tr>
      <w:tr w:rsidR="00906604" w:rsidRPr="00906604" w:rsidTr="00906604">
        <w:trPr>
          <w:trHeight w:val="885"/>
        </w:trPr>
        <w:tc>
          <w:tcPr>
            <w:tcW w:w="64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（75）自然灾害等突发事件的应急处理预案、预警信息和处置情况，涉及学校的重大事件的调查和处理情况</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校长办公室、保卫处、校医院</w:t>
            </w:r>
          </w:p>
        </w:tc>
      </w:tr>
      <w:tr w:rsidR="00906604" w:rsidRPr="00906604" w:rsidTr="00906604">
        <w:trPr>
          <w:trHeight w:val="499"/>
        </w:trPr>
        <w:tc>
          <w:tcPr>
            <w:tcW w:w="64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906604" w:rsidRPr="00906604" w:rsidRDefault="00906604" w:rsidP="00906604">
            <w:pPr>
              <w:widowControl/>
              <w:jc w:val="left"/>
              <w:rPr>
                <w:rFonts w:ascii="仿宋" w:eastAsia="仿宋" w:hAnsi="仿宋" w:cs="宋体"/>
                <w:color w:val="000000"/>
                <w:kern w:val="0"/>
                <w:sz w:val="20"/>
                <w:szCs w:val="20"/>
              </w:rPr>
            </w:pPr>
          </w:p>
        </w:tc>
        <w:tc>
          <w:tcPr>
            <w:tcW w:w="620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（76）其他依法应予以公开的事项</w:t>
            </w:r>
          </w:p>
        </w:tc>
        <w:tc>
          <w:tcPr>
            <w:tcW w:w="1540" w:type="dxa"/>
            <w:tcBorders>
              <w:top w:val="nil"/>
              <w:left w:val="nil"/>
              <w:bottom w:val="single" w:sz="4" w:space="0" w:color="auto"/>
              <w:right w:val="single" w:sz="4" w:space="0" w:color="auto"/>
            </w:tcBorders>
            <w:shd w:val="clear" w:color="auto" w:fill="auto"/>
            <w:vAlign w:val="center"/>
            <w:hideMark/>
          </w:tcPr>
          <w:p w:rsidR="00906604" w:rsidRPr="00906604" w:rsidRDefault="00906604" w:rsidP="00906604">
            <w:pPr>
              <w:widowControl/>
              <w:jc w:val="left"/>
              <w:rPr>
                <w:rFonts w:ascii="仿宋" w:eastAsia="仿宋" w:hAnsi="仿宋" w:cs="宋体" w:hint="eastAsia"/>
                <w:color w:val="000000"/>
                <w:kern w:val="0"/>
                <w:sz w:val="20"/>
                <w:szCs w:val="20"/>
              </w:rPr>
            </w:pPr>
            <w:r w:rsidRPr="00906604">
              <w:rPr>
                <w:rFonts w:ascii="仿宋" w:eastAsia="仿宋" w:hAnsi="仿宋" w:cs="宋体" w:hint="eastAsia"/>
                <w:color w:val="000000"/>
                <w:kern w:val="0"/>
                <w:sz w:val="20"/>
                <w:szCs w:val="20"/>
              </w:rPr>
              <w:t>待定</w:t>
            </w:r>
          </w:p>
        </w:tc>
      </w:tr>
    </w:tbl>
    <w:p w:rsidR="00906604" w:rsidRDefault="00906604">
      <w:pPr>
        <w:rPr>
          <w:rFonts w:hint="eastAsia"/>
        </w:rPr>
      </w:pPr>
    </w:p>
    <w:sectPr w:rsidR="00906604" w:rsidSect="00806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50E" w:rsidRDefault="0004150E" w:rsidP="00523587">
      <w:r>
        <w:separator/>
      </w:r>
    </w:p>
  </w:endnote>
  <w:endnote w:type="continuationSeparator" w:id="0">
    <w:p w:rsidR="0004150E" w:rsidRDefault="0004150E" w:rsidP="0052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50E" w:rsidRDefault="0004150E" w:rsidP="00523587">
      <w:r>
        <w:separator/>
      </w:r>
    </w:p>
  </w:footnote>
  <w:footnote w:type="continuationSeparator" w:id="0">
    <w:p w:rsidR="0004150E" w:rsidRDefault="0004150E" w:rsidP="005235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A43A7"/>
    <w:rsid w:val="0004150E"/>
    <w:rsid w:val="000A6810"/>
    <w:rsid w:val="00213E81"/>
    <w:rsid w:val="00523587"/>
    <w:rsid w:val="006A43A7"/>
    <w:rsid w:val="00806DEF"/>
    <w:rsid w:val="00906604"/>
    <w:rsid w:val="00F3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4BDB1"/>
  <w15:chartTrackingRefBased/>
  <w15:docId w15:val="{86D8AAFC-D261-4E06-8C8E-680DEE554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35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23587"/>
    <w:rPr>
      <w:sz w:val="18"/>
      <w:szCs w:val="18"/>
    </w:rPr>
  </w:style>
  <w:style w:type="paragraph" w:styleId="a5">
    <w:name w:val="footer"/>
    <w:basedOn w:val="a"/>
    <w:link w:val="a6"/>
    <w:uiPriority w:val="99"/>
    <w:unhideWhenUsed/>
    <w:rsid w:val="00523587"/>
    <w:pPr>
      <w:tabs>
        <w:tab w:val="center" w:pos="4153"/>
        <w:tab w:val="right" w:pos="8306"/>
      </w:tabs>
      <w:snapToGrid w:val="0"/>
      <w:jc w:val="left"/>
    </w:pPr>
    <w:rPr>
      <w:sz w:val="18"/>
      <w:szCs w:val="18"/>
    </w:rPr>
  </w:style>
  <w:style w:type="character" w:customStyle="1" w:styleId="a6">
    <w:name w:val="页脚 字符"/>
    <w:basedOn w:val="a0"/>
    <w:link w:val="a5"/>
    <w:uiPriority w:val="99"/>
    <w:rsid w:val="005235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421266">
      <w:bodyDiv w:val="1"/>
      <w:marLeft w:val="0"/>
      <w:marRight w:val="0"/>
      <w:marTop w:val="0"/>
      <w:marBottom w:val="0"/>
      <w:divBdr>
        <w:top w:val="none" w:sz="0" w:space="0" w:color="auto"/>
        <w:left w:val="none" w:sz="0" w:space="0" w:color="auto"/>
        <w:bottom w:val="none" w:sz="0" w:space="0" w:color="auto"/>
        <w:right w:val="none" w:sz="0" w:space="0" w:color="auto"/>
      </w:divBdr>
    </w:div>
    <w:div w:id="164908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5</cp:revision>
  <dcterms:created xsi:type="dcterms:W3CDTF">2017-10-18T09:09:00Z</dcterms:created>
  <dcterms:modified xsi:type="dcterms:W3CDTF">2017-10-18T09:24:00Z</dcterms:modified>
</cp:coreProperties>
</file>