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>
      <w:pPr>
        <w:rPr>
          <w:rFonts w:ascii="仿宋_GB2312" w:eastAsia="仿宋_GB2312" w:hint="eastAsia"/>
          <w:b/>
          <w:sz w:val="32"/>
          <w:szCs w:val="32"/>
        </w:rPr>
      </w:pPr>
      <w:r>
        <w:rPr>
          <w:rFonts w:ascii="仿宋_GB2312" w:eastAsia="仿宋_GB2312" w:hint="eastAsia"/>
          <w:b/>
          <w:sz w:val="32"/>
          <w:szCs w:val="32"/>
        </w:rPr>
        <w:t>附件26.1：</w:t>
      </w:r>
    </w:p>
    <w:p>
      <w:r>
        <w:rPr>
          <w:noProof/>
        </w:rPr>
        <w:drawing>
          <wp:inline distT="0" distB="0" distL="0" distR="0">
            <wp:extent cx="5274310" cy="3955733"/>
            <wp:effectExtent l="0" t="7303" r="0" b="0"/>
            <wp:docPr id="1" name="图片 1" descr="C:\Users\fzghc\AppData\Local\Microsoft\Windows\INetCache\Content.Word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zghc\AppData\Local\Microsoft\Windows\INetCache\Content.Word\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noProof/>
        </w:rPr>
        <w:lastRenderedPageBreak/>
        <w:drawing>
          <wp:inline distT="0" distB="0" distL="0" distR="0">
            <wp:extent cx="5274310" cy="3955733"/>
            <wp:effectExtent l="0" t="7303" r="0" b="0"/>
            <wp:docPr id="2" name="图片 2" descr="C:\Users\fzghc\AppData\Local\Microsoft\Windows\INetCache\Content.Word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zghc\AppData\Local\Microsoft\Windows\INetCache\Content.Word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rPr>
          <w:noProof/>
        </w:rPr>
        <w:lastRenderedPageBreak/>
        <w:drawing>
          <wp:inline distT="0" distB="0" distL="0" distR="0">
            <wp:extent cx="5274310" cy="7032413"/>
            <wp:effectExtent l="0" t="0" r="2540" b="0"/>
            <wp:docPr id="3" name="图片 3" descr="C:\Users\fzghc\AppData\Local\Microsoft\Windows\INetCache\Content.Word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zghc\AppData\Local\Microsoft\Windows\INetCache\Content.Word\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tbl>
      <w:tblPr>
        <w:tblW w:w="8306" w:type="dxa"/>
        <w:tblLook w:val="04A0" w:firstRow="1" w:lastRow="0" w:firstColumn="1" w:lastColumn="0" w:noHBand="0" w:noVBand="1"/>
      </w:tblPr>
      <w:tblGrid>
        <w:gridCol w:w="478"/>
        <w:gridCol w:w="73"/>
        <w:gridCol w:w="440"/>
        <w:gridCol w:w="74"/>
        <w:gridCol w:w="632"/>
        <w:gridCol w:w="1434"/>
        <w:gridCol w:w="430"/>
        <w:gridCol w:w="889"/>
        <w:gridCol w:w="175"/>
        <w:gridCol w:w="1048"/>
        <w:gridCol w:w="142"/>
        <w:gridCol w:w="353"/>
        <w:gridCol w:w="93"/>
        <w:gridCol w:w="971"/>
        <w:gridCol w:w="339"/>
        <w:gridCol w:w="735"/>
      </w:tblGrid>
      <w:tr>
        <w:trPr>
          <w:trHeight w:val="600"/>
        </w:trPr>
        <w:tc>
          <w:tcPr>
            <w:tcW w:w="7528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/>
                <w:b/>
                <w:bCs/>
                <w:kern w:val="0"/>
                <w:sz w:val="28"/>
                <w:szCs w:val="28"/>
              </w:rPr>
            </w:pPr>
            <w:r>
              <w:rPr>
                <w:rFonts w:ascii="宋体" w:eastAsia="宋体" w:hAnsi="宋体" w:cs="宋体" w:hint="eastAsia"/>
                <w:b/>
                <w:bCs/>
                <w:kern w:val="0"/>
                <w:sz w:val="28"/>
                <w:szCs w:val="28"/>
              </w:rPr>
              <w:t>2016年5-12月捐赠收入明细表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 w:hint="eastAsia"/>
                <w:b/>
                <w:bCs/>
                <w:kern w:val="0"/>
                <w:sz w:val="28"/>
                <w:szCs w:val="2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月份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日期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摘要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借方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贷方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方向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余额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01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期初余额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04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收淄博红点文化传媒捐赠款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118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04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结转红点文化传媒捐赠款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4月份入账，总数需去掉此十万</w:t>
            </w: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04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04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收法学院教职工零星捐款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7,100.00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收淄博易韬置业顾问有限公司捐赠款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收山东聚米电子商务有限公司捐赠款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收烟台万方工贸捐赠款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收张凡勇捐赠款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收校报记者捐赠款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18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收淄博科技器材大楼捐赠款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18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收山东鲁北企业集团捐赠款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18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收于立广捐赠款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137,100.00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18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收商学院李平捐赠款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147,100.00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收于维详捐赠款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157,100.00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收毕研峰捐赠款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收李培义捐赠款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177,100.00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收刘新鹏、栾琪文捐赠款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187,100.00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收淄博晟阳门窗捐赠款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197,100.00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收蓝鸥科技有限公司捐赠款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227,100.00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收广州珠江钢琴集团奖学金捐赠款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22,000.00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249,100.00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收体育学院捐赠款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6,010.00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255,110.00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收文学院捐赠款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256,310.00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收鲁泰纺织服装学院捐赠款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2,790.00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259,100.00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收奥星公司捐赠款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1,300.00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260,400.00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收徐广忠捐赠款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261,400.00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收俞淑凤捐赠款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262,400.00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收高声明捐赠款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263,400.00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收马玉文捐赠款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264,400.00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收化工学院捐赠款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1,500.00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265,900.00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收生命学院捐赠款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1,600.00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267,500.00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收孙凯、舒启芳捐赠款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269,500.00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23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00018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收诸城市义和车桥助学金捐赠款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769,500.00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24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收山东卓创资讯集团捐赠款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789,500.00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24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收远程与继续教育学院外聘人员捐赠款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1,420.00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790,920.00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24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收八二电气化捐赠款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795,920.00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24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收八二机械化二班捐赠款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4,700.00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800,620.00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24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收交通学院孟宪皆捐赠款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800,920.00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24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收在校生电气宫海洋、交通陈建光捐赠款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132.00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801,052.00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24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收潍坊万隆电气股份有限公司捐赠款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811,052.00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收刘永刚捐赠款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812,052.00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收离退处司继胜捐赠款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812,652.00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收基建处捐赠款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900.00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813,552.00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收外国语学院捐赠款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2,280.00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815,832.00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收山东豪迈机械科技公司机械学科建设基金捐赠款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915,832.00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收青岛科技大学捐赠款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925,832.00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收离退处于东捐赠款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14,000.00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939,832.00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收校庆零星捐赠款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92,700.00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1,032,532.00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收中华联合财产保险捐赠款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1,052,532.00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收淄博太平洋人寿捐赠款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1,072,532.00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收淄博市自来水公司捐赠款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1,077,532.00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收山东高阳建设公司捐赠款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1,097,532.00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收淄博市建筑设计研究院捐赠款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1,107,532.00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收山东工业职业学院捐赠款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1,117,532.00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收山东东泰工程咨询公司捐赠款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1,122,532.00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收绵阳师范学院捐赠款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1,127,532.00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收四海水处理设备公司捐赠款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1,147,532.00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收淄博热力公司捐赠款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1,167,532.00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收山东圣海保健品公司公司捐赠款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1,170,532.00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收邹平梁邹矿业公司捐赠款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1,180,532.00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收山东亚丰农业机械装备公司农工学院捐赠款捐赠款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1,200,532.00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收山东金诚石化集团公司捐赠款捐赠款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1,210,532.00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收山东谦津电子科技公司农工学院捐赠款捐赠款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1,213,532.00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收山东展创生物质能科技公司农工学院捐赠款捐赠款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1,216,532.00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收山东齐泰实业集团捐赠款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1,226,532.00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收山东大地人律师事务所捐赠款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1,227,532.00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收张正基校庆捐赠款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1,232,532.00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收山东国丰机械农业机械学科发展基金捐赠款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1,262,532.00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收蓬莱市华升电子捐赠款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1,272,532.00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收山东北方淄特特种油捐赠款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1,302,532.00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收山东宏程建设捐赠款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1,802,532.00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收山东师创软件实训学院捐赠款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1,812,532.00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收广州南方测测绘仪器济南分公司建工发展基金捐赠款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1,832,532.00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收淄博职业学院闫娜捐赠款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1,842,532.00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收山东翱特实业刘清照教育基金捐赠款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1,852,532.00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收滨州汉伟装饰安装工程捐赠款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1,862,532.00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收淄博高新区外国语学校捐赠款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2,362,532.00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收离退处栾贻信捐赠款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2,363,532.00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收离退处李成璞捐赠款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2,364,532.00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收周荣刚捐赠款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2,374,532.00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收MBA全体学员捐赠款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15,497.00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2,390,029.00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收胜动集团校友捐赠款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12,160.00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2,402,189.00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收济南网融创业服务有限公司捐赠款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2,432,189.00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收张汉武捐赠款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2,442,189.00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00038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收淄博永泰电机捐赠款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2,462,189.00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收职教中心捐赠款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3,460.00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2,465,649.00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收淄博先锋磨具制造有限公司捐赠款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2,475,649.00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收82级机制工艺2班捐赠款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3,125.00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2,478,774.00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收02经济全体校友捐赠款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2,483,774.00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于立广等换开发票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-40,000.00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2,443,774.00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于立广换开发票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2,453,774.00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毕研峰换开发票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2,463,774.00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李培义换开发票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2,473,774.00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刘新鹏、栾琪文换开发票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2,483,774.00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转程广辉捐赠款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2,493,774.00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转刘治波捐赠款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2,503,774.00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转林鲁闽捐赠款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2,513,774.00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转刘学俊捐赠款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2,523,774.00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转刘森、姜勋生、孙彩玲捐赠款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2,533,774.00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收文学院学生捐款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2,666.00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2,536,440.00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收机械化82-1等捐赠款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7,900.00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2,544,340.00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收刁培松捐赠款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2,544,640.00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收农工李腾训捐赠款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2,544,940.00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收袁光明捐赠款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2,545,240.00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收张思灵捐赠款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2,545,540.00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收刘元义捐赠款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2,545,840.00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收周长城捐赠款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2,546,140.00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收王相友捐赠款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2,546,440.00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收原师专86届部分校友捐赠款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11,160.00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2,557,600.00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收王忠孝捐赠款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2,557,900.00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收宋佃峰捐赠款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2,558,200.00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收张业峰捐赠款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2,558,320.00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收艾修俊捐赠款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2,558,440.00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00048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收青岛德固特节能装备捐赠款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2,578,440.00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换开发票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-10,000.00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2,568,440.00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收淄博职业学院捐赠款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2,578,440.00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2,558,440.00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2,548,440.00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2,528,440.00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2,498,440.00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2,468,440.00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2,458,440.00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2,448,440.00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301,440.00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2,147,000.00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2,097,000.00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2,087,000.00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22,000.00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2,065,000.00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1,565,000.00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1,545,000.00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1,535,000.00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1,435,000.00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1,425,000.00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1,405,000.00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1,385,000.00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1,380,000.00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1,360,000.00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1,350,000.00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1,340,000.00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1,335,000.00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1,330,000.00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1,310,000.00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1,290,000.00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1,287,000.00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1,277,000.00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1,257,000.00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1,254,000.00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1,251,000.00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1,241,000.00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1,240,000.00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1,210,000.00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1,200,000.00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700,000.00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690,000.00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670,000.00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660,000.00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650,000.00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150,000.00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90,000.00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00050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2,578,440.00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2,578,440.00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2,678,440.00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2,678,440.00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03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收毕殷玥捐赠款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15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收山东时风集团捐赠款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100,500.00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收校庆教工捐款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273,696.00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374,196.00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收史丹利化肥女篮交流比赛专用基金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474,196.00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23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收体育学院学生校庆捐赠款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3,867.35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478,063.35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结转校庆零星捐赠收入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477,563.35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结转校庆零星捐赠收入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273,696.00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203,867.35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结转校庆零星捐赠收入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3,867.35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结转时风集团捐赠款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转收史丹利化肥女篮捐赠款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478,063.35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478,063.35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3,156,503.35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3,156,503.35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收山东省光彩事业促进会助学金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14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收淄博市五音戏剧院科研赞助费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280,000.00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00008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收山东巨能数控机床女篮奖助学金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收海南海工实业捐赠款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312,000.00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收山东锐泽自动门捐赠款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322,000.00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收95机制2班校庆捐赠款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332,000.00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转校庆零星捐赠款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26,012.00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358,012.00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收奥琦玮信息科技（北京）捐赠款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558,012.00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00018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结转山东光彩助学捐赠款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308,012.00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结转校庆零星捐赠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36,012.00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272,000.00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结转淄博市五音戏剧院捐赠款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242,000.00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结转山东巨能数控机床捐赠款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222,000.00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结转海南海工实业捐赠款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210,000.00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结转山东锐泽自动门捐赠款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结转奥琦玮信息科技捐赠款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收博世热力技术捐赠款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183,000.00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183,000.00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收淄博市财政局国库科捐赠款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213,000.00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00028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收上海外语教育出版社捐赠款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273,000.00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结转博世热力技术捐赠款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183,000.00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90,000.00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结转市财政局国库科捐赠款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结转上海外语教育出版社捐赠款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831,012.00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831,012.00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3,987,515.35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3,987,515.35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转王乃江捐赠款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13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收山东四海水处理设备奖学金捐赠款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18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收山东科汇研究生奖学金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收鲁泰纺织捐资助学款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1,160,000.00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收融信在线（北京）教育科技奖学金捐赠款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1,170,000.00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00018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结转王乃江捐赠款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1,110,000.00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结转山东四海水处理设备奖学金捐赠款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1,090,000.00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结转山东科汇研究生奖学金捐赠款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1,010,000.00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结转鲁泰纺织捐资助学款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1,000,000.00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结转融信在线奖学金捐赠款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1,170,000.00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1,170,000.00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5,157,515.35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5,157,515.35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19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冲淄博市财政局国库科捐赠款（2016-7-27#）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-30,000.00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借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收潍坊瑞驰汽车系统奖学金捐赠款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结转淄博市财政局国库科捐赠款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-30,000.00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结转潍坊瑞驰汽车系统奖学金捐赠款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5,197,515.35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5,197,515.35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11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收青岛瑞诺化工助学金捐赠款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11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收山东金诚石化捐赠款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70,000.00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11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00005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收瑞鸿奖学金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19,000.00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89,000.00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11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结转青岛瑞诺助学金捐赠款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69,000.00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11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结转山东金诚石化捐赠款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19,000.00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11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结转瑞鸿奖学金捐赠款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19,000.00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11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89,000.00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89,000.00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11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5,286,515.35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5,286,515.35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14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00003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收一诺威聚氨酯奖学金捐赠款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收中通客车奖学金捐赠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90,000.00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收青岛德固特奖学金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190,000.00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00014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收花冠集团奖学金捐赠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290,000.00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收淄博科勒奖学金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收博元堂红木捐赠款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26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00020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收雷沃重工捐赠款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510,000.00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00026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结转一诺威聚氨酯奖学金捐赠款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460,000.00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00027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结转中通客车奖学金捐赠款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420,000.00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结转青岛德固特奖学金捐赠款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320,000.00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00037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结转花冠集团奖学金捐赠款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220,000.00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00039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结转科勒奖学金捐赠款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210,000.00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00041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结转博元堂红木捐赠款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200,000.00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00042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结转雷沃重工捐赠款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510,000.00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510,000.00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12</w:t>
            </w:r>
          </w:p>
        </w:tc>
        <w:tc>
          <w:tcPr>
            <w:tcW w:w="5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5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5,796,515.35</w:t>
            </w:r>
          </w:p>
        </w:tc>
        <w:tc>
          <w:tcPr>
            <w:tcW w:w="129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5,796,515.35</w:t>
            </w:r>
          </w:p>
        </w:tc>
        <w:tc>
          <w:tcPr>
            <w:tcW w:w="43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29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trHeight w:val="600"/>
        </w:trPr>
        <w:tc>
          <w:tcPr>
            <w:tcW w:w="7528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备注：5月-12月合计捐赠收入569.65万元</w:t>
            </w:r>
          </w:p>
        </w:tc>
        <w:tc>
          <w:tcPr>
            <w:tcW w:w="7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</w:p>
        </w:tc>
      </w:tr>
      <w:tr>
        <w:trPr>
          <w:gridAfter w:val="2"/>
          <w:wAfter w:w="1146" w:type="dxa"/>
          <w:trHeight w:val="1080"/>
        </w:trPr>
        <w:tc>
          <w:tcPr>
            <w:tcW w:w="7160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>
            <w:pPr>
              <w:widowControl/>
              <w:jc w:val="center"/>
              <w:rPr>
                <w:rFonts w:ascii="宋体" w:eastAsia="宋体" w:hAnsi="宋体" w:cs="宋体"/>
                <w:kern w:val="0"/>
                <w:sz w:val="36"/>
                <w:szCs w:val="36"/>
              </w:rPr>
            </w:pPr>
            <w:r>
              <w:rPr>
                <w:rFonts w:ascii="宋体" w:eastAsia="宋体" w:hAnsi="宋体" w:cs="宋体" w:hint="eastAsia"/>
                <w:kern w:val="0"/>
                <w:sz w:val="36"/>
                <w:szCs w:val="36"/>
              </w:rPr>
              <w:t>2017年1-9月捐赠收入明细账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月份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日期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凭单号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摘要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借方发生额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贷方发生额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方向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余额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01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期初余额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03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00001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转60周年校庆零星捐赠款等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141,409.03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141,409.03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03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27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00002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转财付通平台试运行收款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0.53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141,409.56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03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28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00003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收中海达奖学金捐赠款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161,409.56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03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00007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结转60周年校庆零星捐赠款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141,409.03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20,000.53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03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00008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结转财付通试运行收入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0.53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03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00009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结转中海达奖学金捐赠收入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03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161,409.56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161,409.56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03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161,409.56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161,409.56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00001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收智洋电气奖学金捐赠款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65,000.00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65,000.00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00003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收青岛大牧人农建大赛捐赠款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150,000.00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215,000.00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00006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结转智洋电气捐赠款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65,000.00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150,000.00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00007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结转青岛大牧人农建大赛捐赠款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150,000.00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215,000.00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215,000.00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05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376,409.56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376,409.56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00001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收78级汽车、拖制专业捐赠款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21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00007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收山东北方淄特特种油捐赠款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lastRenderedPageBreak/>
              <w:t>06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00011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结转78级汽车、拖制学生捐赠款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20,000.00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00015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结转淄特特种油捐赠款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30,000.00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06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426,409.56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426,409.56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00001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收歌尔奖学金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00003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收史丹利女篮专用基金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150,000.00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00005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转收歌尔奖学金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50,000.00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13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00006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转收史丹利女篮专用基金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100,000.00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150,000.00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150,000.00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07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576,409.56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576,409.56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平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00004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收山东省光彩事业促进会助学金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250,000.00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250,000.00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本期合计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250,000.00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250,000.00</w:t>
            </w:r>
          </w:p>
        </w:tc>
      </w:tr>
      <w:tr>
        <w:trPr>
          <w:gridAfter w:val="2"/>
          <w:wAfter w:w="1146" w:type="dxa"/>
          <w:trHeight w:val="600"/>
        </w:trPr>
        <w:tc>
          <w:tcPr>
            <w:tcW w:w="5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09</w:t>
            </w: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本年累计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576,409.56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826,409.56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lef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贷</w:t>
            </w:r>
          </w:p>
        </w:tc>
        <w:tc>
          <w:tcPr>
            <w:tcW w:w="10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>
            <w:pPr>
              <w:widowControl/>
              <w:jc w:val="right"/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</w:pPr>
            <w:r>
              <w:rPr>
                <w:rFonts w:ascii="宋体" w:eastAsia="宋体" w:hAnsi="宋体" w:cs="宋体" w:hint="eastAsia"/>
                <w:kern w:val="0"/>
                <w:sz w:val="18"/>
                <w:szCs w:val="18"/>
              </w:rPr>
              <w:t>250,000.00</w:t>
            </w:r>
          </w:p>
        </w:tc>
      </w:tr>
    </w:tbl>
    <w:p>
      <w:pPr>
        <w:rPr>
          <w:rFonts w:hint="eastAsia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>
      <w:r>
        <w:separator/>
      </w:r>
    </w:p>
  </w:endnote>
  <w:endnote w:type="continuationSeparator" w:id="0">
    <w:p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>
      <w:r>
        <w:separator/>
      </w:r>
    </w:p>
  </w:footnote>
  <w:footnote w:type="continuationSeparator" w:id="0">
    <w:p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6F03104-C140-43A8-B928-E6C17419A7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Pr>
      <w:sz w:val="18"/>
      <w:szCs w:val="18"/>
    </w:rPr>
  </w:style>
  <w:style w:type="character" w:styleId="a7">
    <w:name w:val="Hyperlink"/>
    <w:basedOn w:val="a0"/>
    <w:uiPriority w:val="99"/>
    <w:semiHidden/>
    <w:unhideWhenUsed/>
    <w:rPr>
      <w:color w:val="0000FF"/>
      <w:u w:val="single"/>
    </w:rPr>
  </w:style>
  <w:style w:type="character" w:styleId="a8">
    <w:name w:val="FollowedHyperlink"/>
    <w:basedOn w:val="a0"/>
    <w:uiPriority w:val="99"/>
    <w:semiHidden/>
    <w:unhideWhenUsed/>
    <w:rPr>
      <w:color w:val="800080"/>
      <w:u w:val="single"/>
    </w:rPr>
  </w:style>
  <w:style w:type="paragraph" w:customStyle="1" w:styleId="msonormal0">
    <w:name w:val="msonormal"/>
    <w:basedOn w:val="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customStyle="1" w:styleId="font0">
    <w:name w:val="font0"/>
    <w:basedOn w:val="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18"/>
      <w:szCs w:val="18"/>
    </w:rPr>
  </w:style>
  <w:style w:type="paragraph" w:customStyle="1" w:styleId="xl63">
    <w:name w:val="xl63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4">
    <w:name w:val="xl64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5">
    <w:name w:val="xl65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6">
    <w:name w:val="xl66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7">
    <w:name w:val="xl67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eastAsia="宋体" w:hAnsi="宋体" w:cs="宋体"/>
      <w:b/>
      <w:bCs/>
      <w:kern w:val="0"/>
      <w:sz w:val="28"/>
      <w:szCs w:val="28"/>
    </w:rPr>
  </w:style>
  <w:style w:type="paragraph" w:customStyle="1" w:styleId="xl68">
    <w:name w:val="xl68"/>
    <w:basedOn w:val="a"/>
    <w:pPr>
      <w:widowControl/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69">
    <w:name w:val="xl69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70">
    <w:name w:val="xl70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71">
    <w:name w:val="xl71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  <w:style w:type="paragraph" w:customStyle="1" w:styleId="xl72">
    <w:name w:val="xl72"/>
    <w:basedOn w:val="a"/>
    <w:pPr>
      <w:widowControl/>
      <w:spacing w:before="100" w:beforeAutospacing="1" w:after="100" w:afterAutospacing="1"/>
      <w:jc w:val="left"/>
      <w:textAlignment w:val="center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725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8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4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18</Pages>
  <Words>2065</Words>
  <Characters>11771</Characters>
  <Application>Microsoft Office Word</Application>
  <DocSecurity>0</DocSecurity>
  <Lines>98</Lines>
  <Paragraphs>27</Paragraphs>
  <ScaleCrop>false</ScaleCrop>
  <Company/>
  <LinksUpToDate>false</LinksUpToDate>
  <CharactersWithSpaces>13809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fzghc</dc:creator>
  <cp:keywords/>
  <dc:description/>
  <cp:lastModifiedBy>fzghc</cp:lastModifiedBy>
  <cp:revision>2</cp:revision>
  <dcterms:created xsi:type="dcterms:W3CDTF">2017-10-19T12:21:00Z</dcterms:created>
  <dcterms:modified xsi:type="dcterms:W3CDTF">2017-10-19T12:38:00Z</dcterms:modified>
</cp:coreProperties>
</file>