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ED6" w:rsidRDefault="00D1406A">
      <w:pPr>
        <w:spacing w:after="105" w:line="259" w:lineRule="auto"/>
        <w:ind w:left="0" w:firstLine="0"/>
        <w:jc w:val="both"/>
      </w:pPr>
      <w:r>
        <w:rPr>
          <w:rFonts w:ascii="Microsoft YaHei UI" w:eastAsia="Microsoft YaHei UI" w:hAnsi="Microsoft YaHei UI" w:cs="Microsoft YaHei UI"/>
          <w:sz w:val="15"/>
        </w:rPr>
        <w:t xml:space="preserve"> </w:t>
      </w:r>
      <w:r>
        <w:rPr>
          <w:rFonts w:ascii="Microsoft YaHei UI" w:eastAsia="Microsoft YaHei UI" w:hAnsi="Microsoft YaHei UI" w:cs="Microsoft YaHei UI"/>
          <w:sz w:val="15"/>
        </w:rPr>
        <w:tab/>
      </w:r>
      <w:r w:rsidR="00B57BBB">
        <w:rPr>
          <w:rFonts w:ascii="SimSun-PUA" w:eastAsia="SimSun-PUA" w:hAnsi="SimSun-PUA" w:cs="SimSun-PUA"/>
          <w:color w:val="ABABAB"/>
          <w:sz w:val="15"/>
        </w:rPr>
        <w:t xml:space="preserve">          </w:t>
      </w:r>
      <w:r>
        <w:rPr>
          <w:rFonts w:ascii="Microsoft YaHei UI" w:eastAsia="Microsoft YaHei UI" w:hAnsi="Microsoft YaHei UI" w:cs="Microsoft YaHei UI"/>
          <w:sz w:val="15"/>
        </w:rPr>
        <w:t xml:space="preserve"> </w:t>
      </w:r>
    </w:p>
    <w:p w:rsidR="003C0ED6" w:rsidRPr="00B57BBB" w:rsidRDefault="00D1406A" w:rsidP="00B57BBB">
      <w:pPr>
        <w:spacing w:after="70" w:line="259" w:lineRule="auto"/>
        <w:ind w:left="912" w:firstLine="0"/>
        <w:rPr>
          <w:rFonts w:ascii="仿宋" w:eastAsia="仿宋" w:hAnsi="仿宋"/>
          <w:sz w:val="32"/>
          <w:szCs w:val="32"/>
        </w:rPr>
      </w:pPr>
      <w:r w:rsidRPr="00B57BBB">
        <w:rPr>
          <w:rFonts w:ascii="仿宋" w:eastAsia="仿宋" w:hAnsi="仿宋" w:cs="Microsoft YaHei UI"/>
          <w:sz w:val="32"/>
          <w:szCs w:val="32"/>
        </w:rPr>
        <w:t xml:space="preserve"> </w:t>
      </w:r>
      <w:r w:rsidR="00B57BBB" w:rsidRPr="00B57BBB">
        <w:rPr>
          <w:rFonts w:ascii="仿宋" w:eastAsia="仿宋" w:hAnsi="仿宋" w:cs="Microsoft YaHei UI" w:hint="eastAsia"/>
          <w:sz w:val="32"/>
          <w:szCs w:val="32"/>
        </w:rPr>
        <w:t>附件15.1：</w:t>
      </w:r>
    </w:p>
    <w:p w:rsidR="003C0ED6" w:rsidRDefault="00D1406A">
      <w:pPr>
        <w:spacing w:after="70" w:line="259" w:lineRule="auto"/>
        <w:ind w:left="912" w:firstLine="0"/>
        <w:jc w:val="center"/>
      </w:pPr>
      <w:r>
        <w:rPr>
          <w:rFonts w:ascii="Microsoft YaHei UI" w:eastAsia="Microsoft YaHei UI" w:hAnsi="Microsoft YaHei UI" w:cs="Microsoft YaHei UI"/>
          <w:sz w:val="15"/>
        </w:rPr>
        <w:t xml:space="preserve"> </w:t>
      </w:r>
    </w:p>
    <w:p w:rsidR="003C0ED6" w:rsidRDefault="00D1406A">
      <w:pPr>
        <w:spacing w:after="251" w:line="259" w:lineRule="auto"/>
        <w:ind w:left="912" w:firstLine="0"/>
        <w:jc w:val="center"/>
      </w:pPr>
      <w:r>
        <w:rPr>
          <w:rFonts w:ascii="Microsoft YaHei UI" w:eastAsia="Microsoft YaHei UI" w:hAnsi="Microsoft YaHei UI" w:cs="Microsoft YaHei UI"/>
          <w:sz w:val="15"/>
        </w:rPr>
        <w:t xml:space="preserve"> </w:t>
      </w:r>
    </w:p>
    <w:p w:rsidR="003C0ED6" w:rsidRDefault="00D1406A">
      <w:pPr>
        <w:spacing w:after="0" w:line="259" w:lineRule="auto"/>
        <w:ind w:left="907" w:firstLine="0"/>
        <w:jc w:val="center"/>
      </w:pPr>
      <w:r>
        <w:rPr>
          <w:rFonts w:ascii="微软雅黑" w:eastAsia="微软雅黑" w:hAnsi="微软雅黑" w:cs="微软雅黑"/>
          <w:color w:val="FF0000"/>
          <w:sz w:val="64"/>
        </w:rPr>
        <w:t>山东理工大学教务处</w:t>
      </w:r>
    </w:p>
    <w:p w:rsidR="00B57BBB" w:rsidRDefault="00D1406A">
      <w:pPr>
        <w:spacing w:after="0" w:line="289" w:lineRule="auto"/>
        <w:ind w:left="0" w:right="111" w:firstLine="0"/>
        <w:jc w:val="right"/>
        <w:rPr>
          <w:rFonts w:ascii="Microsoft YaHei UI" w:eastAsia="Microsoft YaHei UI" w:hAnsi="Microsoft YaHei UI" w:cs="Microsoft YaHei UI"/>
          <w:sz w:val="21"/>
        </w:rPr>
      </w:pPr>
      <w:r>
        <w:rPr>
          <w:rFonts w:ascii="微软雅黑" w:eastAsia="微软雅黑" w:hAnsi="微软雅黑" w:cs="微软雅黑"/>
          <w:color w:val="FF0000"/>
          <w:sz w:val="15"/>
        </w:rPr>
        <w:t>======================================================================================</w:t>
      </w:r>
      <w:bookmarkStart w:id="0" w:name="_GoBack"/>
      <w:bookmarkEnd w:id="0"/>
      <w:r>
        <w:rPr>
          <w:rFonts w:ascii="Microsoft YaHei UI" w:eastAsia="Microsoft YaHei UI" w:hAnsi="Microsoft YaHei UI" w:cs="Microsoft YaHei UI"/>
          <w:sz w:val="21"/>
        </w:rPr>
        <w:t xml:space="preserve">                                                                      </w:t>
      </w:r>
      <w:r w:rsidR="00B57BBB">
        <w:rPr>
          <w:rFonts w:ascii="Microsoft YaHei UI" w:eastAsia="Microsoft YaHei UI" w:hAnsi="Microsoft YaHei UI" w:cs="Microsoft YaHei UI"/>
          <w:sz w:val="21"/>
        </w:rPr>
        <w:t xml:space="preserve">                           </w:t>
      </w:r>
      <w:r>
        <w:rPr>
          <w:rFonts w:ascii="Microsoft YaHei UI" w:eastAsia="Microsoft YaHei UI" w:hAnsi="Microsoft YaHei UI" w:cs="Microsoft YaHei UI"/>
          <w:sz w:val="21"/>
        </w:rPr>
        <w:t xml:space="preserve">  </w:t>
      </w:r>
    </w:p>
    <w:p w:rsidR="003C0ED6" w:rsidRDefault="00D1406A" w:rsidP="00B57BBB">
      <w:pPr>
        <w:spacing w:after="0" w:line="289" w:lineRule="auto"/>
        <w:ind w:left="0" w:right="951" w:firstLine="0"/>
        <w:jc w:val="right"/>
      </w:pPr>
      <w:r>
        <w:t>教务函【</w:t>
      </w:r>
      <w:r>
        <w:t>2016</w:t>
      </w:r>
      <w:r>
        <w:t>】</w:t>
      </w:r>
      <w:r>
        <w:t>124</w:t>
      </w:r>
      <w:r>
        <w:t>号</w:t>
      </w:r>
    </w:p>
    <w:p w:rsidR="003C0ED6" w:rsidRDefault="00D1406A">
      <w:pPr>
        <w:spacing w:after="284" w:line="259" w:lineRule="auto"/>
        <w:ind w:left="912" w:firstLine="0"/>
        <w:jc w:val="center"/>
      </w:pPr>
      <w:r>
        <w:rPr>
          <w:rFonts w:ascii="Microsoft YaHei UI" w:eastAsia="Microsoft YaHei UI" w:hAnsi="Microsoft YaHei UI" w:cs="Microsoft YaHei UI"/>
          <w:sz w:val="15"/>
        </w:rPr>
        <w:t xml:space="preserve"> </w:t>
      </w:r>
    </w:p>
    <w:p w:rsidR="003C0ED6" w:rsidRDefault="00D1406A">
      <w:pPr>
        <w:pStyle w:val="1"/>
      </w:pPr>
      <w:r>
        <w:t>山东理工大学关于制订</w:t>
      </w:r>
    </w:p>
    <w:p w:rsidR="003C0ED6" w:rsidRDefault="00D1406A">
      <w:pPr>
        <w:spacing w:after="0" w:line="259" w:lineRule="auto"/>
        <w:ind w:left="2029" w:firstLine="0"/>
      </w:pPr>
      <w:r>
        <w:rPr>
          <w:rFonts w:ascii="微软雅黑" w:eastAsia="微软雅黑" w:hAnsi="微软雅黑" w:cs="微软雅黑"/>
          <w:sz w:val="38"/>
        </w:rPr>
        <w:t>2017</w:t>
      </w:r>
      <w:r>
        <w:rPr>
          <w:rFonts w:ascii="微软雅黑" w:eastAsia="微软雅黑" w:hAnsi="微软雅黑" w:cs="微软雅黑"/>
          <w:sz w:val="38"/>
        </w:rPr>
        <w:t>版本</w:t>
      </w:r>
      <w:proofErr w:type="gramStart"/>
      <w:r>
        <w:rPr>
          <w:rFonts w:ascii="微软雅黑" w:eastAsia="微软雅黑" w:hAnsi="微软雅黑" w:cs="微软雅黑"/>
          <w:sz w:val="38"/>
        </w:rPr>
        <w:t>科人才</w:t>
      </w:r>
      <w:proofErr w:type="gramEnd"/>
      <w:r>
        <w:rPr>
          <w:rFonts w:ascii="微软雅黑" w:eastAsia="微软雅黑" w:hAnsi="微软雅黑" w:cs="微软雅黑"/>
          <w:sz w:val="38"/>
        </w:rPr>
        <w:t>培养方案的指导性意见</w:t>
      </w:r>
    </w:p>
    <w:p w:rsidR="003C0ED6" w:rsidRDefault="00D1406A">
      <w:pPr>
        <w:spacing w:after="0" w:line="259" w:lineRule="auto"/>
        <w:ind w:left="902" w:firstLine="0"/>
        <w:jc w:val="center"/>
      </w:pPr>
      <w:r>
        <w:rPr>
          <w:rFonts w:ascii="微软雅黑" w:eastAsia="微软雅黑" w:hAnsi="微软雅黑" w:cs="微软雅黑"/>
          <w:sz w:val="38"/>
        </w:rPr>
        <w:t xml:space="preserve"> </w:t>
      </w:r>
    </w:p>
    <w:p w:rsidR="003C0ED6" w:rsidRDefault="00D1406A">
      <w:pPr>
        <w:ind w:left="948" w:right="37"/>
      </w:pPr>
      <w:r>
        <w:t>培养方案是高等学校人才培养的纲领性文件，是学校办学指导思想、人才培养目标和人才培养模式的具体体现，是教育教学工作的总体计划和实施方案，是组织和管理教学过程的主要依据。为进一步贯彻《国务院办公厅关于深化高等学校创新创业教育改革的实施意见》（国办发〔</w:t>
      </w:r>
      <w:r>
        <w:t>2015</w:t>
      </w:r>
      <w:r>
        <w:t>〕</w:t>
      </w:r>
      <w:r>
        <w:t>36</w:t>
      </w:r>
      <w:r>
        <w:t>号）、《教育部关于全面提高高等教育质量的若干意见》（</w:t>
      </w:r>
      <w:proofErr w:type="gramStart"/>
      <w:r>
        <w:t>教高〔</w:t>
      </w:r>
      <w:r>
        <w:t>2012</w:t>
      </w:r>
      <w:r>
        <w:t>〕</w:t>
      </w:r>
      <w:proofErr w:type="gramEnd"/>
      <w:r>
        <w:t>4</w:t>
      </w:r>
      <w:r>
        <w:t>号）和《山东省普通高等学校学分制管理规定》（</w:t>
      </w:r>
      <w:proofErr w:type="gramStart"/>
      <w:r>
        <w:t>鲁教高字</w:t>
      </w:r>
      <w:proofErr w:type="gramEnd"/>
      <w:r>
        <w:t>[2013]14</w:t>
      </w:r>
      <w:r>
        <w:t>号）等有关文件要求，进一步深化教学改革，创新人才培养模式，提高人才培养质量，现就制订</w:t>
      </w:r>
      <w:r>
        <w:t>2017</w:t>
      </w:r>
      <w:r>
        <w:t>版本科专业培养方案工作提出如下意见。</w:t>
      </w:r>
    </w:p>
    <w:p w:rsidR="003C0ED6" w:rsidRDefault="00D1406A">
      <w:pPr>
        <w:pStyle w:val="2"/>
        <w:ind w:left="1508"/>
      </w:pPr>
      <w:r>
        <w:t>一、指导思想</w:t>
      </w:r>
    </w:p>
    <w:p w:rsidR="003C0ED6" w:rsidRDefault="00D1406A">
      <w:pPr>
        <w:ind w:left="948" w:right="37"/>
      </w:pPr>
      <w:r>
        <w:t>遵循高等教育发展规律，贯彻学校</w:t>
      </w:r>
      <w:r>
        <w:t>“</w:t>
      </w:r>
      <w:r>
        <w:t>十三五</w:t>
      </w:r>
      <w:r>
        <w:t>”</w:t>
      </w:r>
      <w:r>
        <w:t>发展规划纲要精神，坚持立德树人，坚持需求导向，以培养具有创新精神的应用型人才为目标，进一步明确人才培养标准，突出办学特色。</w:t>
      </w:r>
    </w:p>
    <w:p w:rsidR="003C0ED6" w:rsidRDefault="00D1406A">
      <w:pPr>
        <w:ind w:left="948" w:right="37"/>
      </w:pPr>
      <w:r>
        <w:t>坚持以学生为中心，以学生学习成效为导向，突出学生在教学中的主体地位，创新人才培养模式，深化学分制改革，优化课程体系，重构课程内容，着力培养有社会责任、有创新精神、有专门知识、有实践能力、有健康身心的高级专</w:t>
      </w:r>
      <w:r>
        <w:t>门人才。</w:t>
      </w:r>
    </w:p>
    <w:p w:rsidR="003C0ED6" w:rsidRDefault="00D1406A">
      <w:pPr>
        <w:pStyle w:val="2"/>
        <w:ind w:left="1508"/>
      </w:pPr>
      <w:r>
        <w:lastRenderedPageBreak/>
        <w:t>二、基本原则</w:t>
      </w:r>
    </w:p>
    <w:p w:rsidR="003C0ED6" w:rsidRDefault="00D1406A">
      <w:pPr>
        <w:spacing w:after="138" w:line="259" w:lineRule="auto"/>
        <w:ind w:left="1511" w:right="37" w:firstLine="0"/>
      </w:pPr>
      <w:r>
        <w:t>1</w:t>
      </w:r>
      <w:r>
        <w:t>．以生为本，需求导向</w:t>
      </w:r>
    </w:p>
    <w:p w:rsidR="003C0ED6" w:rsidRDefault="00D1406A">
      <w:pPr>
        <w:ind w:left="948" w:right="37"/>
      </w:pPr>
      <w:r>
        <w:t>坚持以学生发展为导向，树立人人成才观，尊重学生的个体差异，将学生的全面发展与个性发展相结合，将知识、能力和素质培养有机统一，培养多样化人才。坚持以社会需求为导向，培养目标、课程体系、教学内容等方面应当充分反映行业对人才的要求，培养能适应经济社会发展需求的有创新精神的应用型人才。</w:t>
      </w:r>
    </w:p>
    <w:p w:rsidR="003C0ED6" w:rsidRDefault="00D1406A">
      <w:pPr>
        <w:spacing w:after="138" w:line="259" w:lineRule="auto"/>
        <w:ind w:left="1506" w:right="37" w:firstLine="0"/>
      </w:pPr>
      <w:r>
        <w:t>2</w:t>
      </w:r>
      <w:r>
        <w:t>．夯实基础，强化实践</w:t>
      </w:r>
    </w:p>
    <w:p w:rsidR="003C0ED6" w:rsidRDefault="00D1406A">
      <w:pPr>
        <w:ind w:left="948" w:right="37"/>
      </w:pPr>
      <w:r>
        <w:t>统一规划基础课程，根据专业特色设置骨干课程，提高选修课程学分比例；继续深化基础类课程综合改革力度，全面重构课程内容，革新教学模式，健全学生学习评价体系。</w:t>
      </w:r>
    </w:p>
    <w:p w:rsidR="003C0ED6" w:rsidRDefault="00D1406A">
      <w:pPr>
        <w:spacing w:line="366" w:lineRule="auto"/>
        <w:ind w:left="948" w:right="311"/>
        <w:jc w:val="both"/>
      </w:pPr>
      <w:r>
        <w:t>强化实</w:t>
      </w:r>
      <w:r>
        <w:t>践教学，提高实践学分比例，充分发挥企业及实习实训基地在实践教学环节中的作用，紧密结合工程实践和社会实际，着力提高学生理论联系实际的能力和发现问题、分析问题、解决问题的能力。</w:t>
      </w:r>
    </w:p>
    <w:p w:rsidR="003C0ED6" w:rsidRDefault="00D1406A">
      <w:pPr>
        <w:spacing w:after="138" w:line="259" w:lineRule="auto"/>
        <w:ind w:left="1511" w:right="37" w:firstLine="0"/>
      </w:pPr>
      <w:r>
        <w:t>3</w:t>
      </w:r>
      <w:r>
        <w:t>．整体优化，鼓励创新</w:t>
      </w:r>
    </w:p>
    <w:p w:rsidR="003C0ED6" w:rsidRDefault="00D1406A">
      <w:pPr>
        <w:ind w:left="948" w:right="37"/>
      </w:pPr>
      <w:r>
        <w:t>处理好理论教学与实践教学、主干学科与相邻学科、必修课程与选修课程等方面的关系，建立动态、融会贯通和可持续发展的课程体系。明晰课程逻辑结构，丰富、整合课程资源，避免课程</w:t>
      </w:r>
      <w:proofErr w:type="gramStart"/>
      <w:r>
        <w:t>间内容</w:t>
      </w:r>
      <w:proofErr w:type="gramEnd"/>
      <w:r>
        <w:t>脱节或重复，实现理论与实践、科研与教学、课内与课外、知识学习与素质养成、创新意识培养与实践能力提升有机结合。</w:t>
      </w:r>
    </w:p>
    <w:p w:rsidR="003C0ED6" w:rsidRDefault="00D1406A">
      <w:pPr>
        <w:ind w:left="948" w:right="37"/>
      </w:pPr>
      <w:r>
        <w:t>单独设置创新创业模块。加强</w:t>
      </w:r>
      <w:proofErr w:type="gramStart"/>
      <w:r>
        <w:t>创新创</w:t>
      </w:r>
      <w:r>
        <w:t>类课程</w:t>
      </w:r>
      <w:proofErr w:type="gramEnd"/>
      <w:r>
        <w:t>建设，面向学生开设必修课、选修课，每个专业至少开设一门有专业特色的创新创业类课程；鼓励学生参加创新创业实践、科研实践及创新竞赛，根据实践效果和竞赛成绩认定学分，探索根据创新创业实践效果替代实践教学环节及学分等。切实将创新创业教育贯穿人才培养全过程，提升学生的创新精神、创业意识和创新创业能力，将素质教育、专业教育与创新创业教育全面融合作为提高人才培养质量的突破口。</w:t>
      </w:r>
    </w:p>
    <w:p w:rsidR="003C0ED6" w:rsidRDefault="00D1406A">
      <w:pPr>
        <w:spacing w:after="138" w:line="259" w:lineRule="auto"/>
        <w:ind w:left="1511" w:right="37" w:firstLine="0"/>
      </w:pPr>
      <w:r>
        <w:t>4</w:t>
      </w:r>
      <w:r>
        <w:t>．深化改革，突出特色</w:t>
      </w:r>
    </w:p>
    <w:p w:rsidR="003C0ED6" w:rsidRDefault="00D1406A">
      <w:pPr>
        <w:ind w:left="948" w:right="37"/>
      </w:pPr>
      <w:r>
        <w:lastRenderedPageBreak/>
        <w:t>深化人才培养模式改革，推进有创新精神的应用型人才培养模式探索与实践，全面制定各专业人才培养标准，鼓励工科专业按照《工</w:t>
      </w:r>
      <w:r>
        <w:t>程教育专业认证标准》进行课程设置。加强校企合作，鼓励开展形式多样的产学研合作教育项目，将行业准入的课程纳入人才培养方案。</w:t>
      </w:r>
    </w:p>
    <w:p w:rsidR="003C0ED6" w:rsidRDefault="00D1406A">
      <w:pPr>
        <w:ind w:left="948" w:right="37"/>
      </w:pPr>
      <w:r>
        <w:t>各专业要根据人才培养目标定位和办学指导思想，根据专业特点选择不同的培养模式和教学模式，突出专业特色，努力形成结构合理、特色鲜明的课程体系。</w:t>
      </w:r>
    </w:p>
    <w:p w:rsidR="003C0ED6" w:rsidRDefault="00D1406A">
      <w:pPr>
        <w:pStyle w:val="2"/>
        <w:ind w:left="1508"/>
      </w:pPr>
      <w:r>
        <w:t>三、课程设置</w:t>
      </w:r>
    </w:p>
    <w:p w:rsidR="003C0ED6" w:rsidRDefault="00D1406A">
      <w:pPr>
        <w:spacing w:after="138" w:line="259" w:lineRule="auto"/>
        <w:ind w:left="1511" w:right="37" w:firstLine="0"/>
      </w:pPr>
      <w:r>
        <w:t>1.</w:t>
      </w:r>
      <w:r>
        <w:t>基本要求</w:t>
      </w:r>
    </w:p>
    <w:p w:rsidR="003C0ED6" w:rsidRDefault="00D1406A">
      <w:pPr>
        <w:ind w:left="948" w:right="37"/>
      </w:pPr>
      <w:r>
        <w:t>保证专业知识结构的基础性与完整性，体现课程设置的人文性，将哲学思维培养、价值观塑造以及人格养成的元素引入课程体系；突出课程设置的综合性与实践性，体现学科交叉与互补，将理论与实践有机融合；继续加大选修课程学分比例，设置跨学科、跨专业选修课程，将修读辅修专业作为学生发展的有益补充；提高国外优质教育资源的引进力度和应用水平，培养学生的国际视野。</w:t>
      </w:r>
    </w:p>
    <w:p w:rsidR="003C0ED6" w:rsidRDefault="00D1406A">
      <w:pPr>
        <w:pStyle w:val="2"/>
        <w:ind w:left="1508"/>
      </w:pPr>
      <w:r>
        <w:t>2.</w:t>
      </w:r>
      <w:r>
        <w:t>平台设置</w:t>
      </w:r>
    </w:p>
    <w:p w:rsidR="003C0ED6" w:rsidRDefault="00D1406A">
      <w:pPr>
        <w:ind w:left="948" w:right="37"/>
      </w:pPr>
      <w:r>
        <w:t>课程设置采取</w:t>
      </w:r>
      <w:r>
        <w:t>“4+4”</w:t>
      </w:r>
      <w:r>
        <w:t>模式，分为通识教育、学科基础、专业教育、实践教学四个平台与通识教育选修、学科基础选修、专业方向选修、创新创业四个模块。采用</w:t>
      </w:r>
      <w:r>
        <w:t>CDIO</w:t>
      </w:r>
      <w:r>
        <w:t>模式</w:t>
      </w:r>
      <w:r>
        <w:t>开展教学的专业，可根据项目设置课程；计划参加工程教育认证的专业，要参照认证标准设置课程。</w:t>
      </w:r>
    </w:p>
    <w:p w:rsidR="003C0ED6" w:rsidRDefault="00D1406A">
      <w:pPr>
        <w:pStyle w:val="2"/>
        <w:ind w:left="1508"/>
      </w:pPr>
      <w:r>
        <w:t>3.</w:t>
      </w:r>
      <w:r>
        <w:t>学分学时</w:t>
      </w:r>
    </w:p>
    <w:p w:rsidR="003C0ED6" w:rsidRDefault="00D1406A">
      <w:pPr>
        <w:ind w:left="948" w:right="37"/>
      </w:pPr>
      <w:r>
        <w:t>课程理论教学</w:t>
      </w:r>
      <w:r>
        <w:t>16</w:t>
      </w:r>
      <w:r>
        <w:t>学时为</w:t>
      </w:r>
      <w:r>
        <w:t>1</w:t>
      </w:r>
      <w:r>
        <w:t>学分，集中实践环节</w:t>
      </w:r>
      <w:r>
        <w:t>1</w:t>
      </w:r>
      <w:r>
        <w:t>周为</w:t>
      </w:r>
      <w:r>
        <w:t>1</w:t>
      </w:r>
      <w:r>
        <w:t>学分，大学物理实验及计算应用基础、计算机语言类课程上机实践</w:t>
      </w:r>
      <w:r>
        <w:t>32</w:t>
      </w:r>
      <w:r>
        <w:t>学时为</w:t>
      </w:r>
      <w:r>
        <w:t>1</w:t>
      </w:r>
      <w:r>
        <w:t>学分，公共体育</w:t>
      </w:r>
      <w:r>
        <w:t>24</w:t>
      </w:r>
      <w:r>
        <w:t>学时为</w:t>
      </w:r>
      <w:r>
        <w:t>0.5</w:t>
      </w:r>
      <w:r>
        <w:t>学分。自然科学类专业建议修读学分为</w:t>
      </w:r>
      <w:r>
        <w:t xml:space="preserve">150—165 </w:t>
      </w:r>
      <w:r>
        <w:t>学分，人文社科类专业建议修读学分为</w:t>
      </w:r>
      <w:r>
        <w:t>140—155</w:t>
      </w:r>
      <w:r>
        <w:t>学分。</w:t>
      </w:r>
    </w:p>
    <w:p w:rsidR="003C0ED6" w:rsidRDefault="00D1406A">
      <w:pPr>
        <w:pStyle w:val="2"/>
        <w:spacing w:after="0"/>
        <w:ind w:left="897" w:firstLine="0"/>
        <w:jc w:val="center"/>
      </w:pPr>
      <w:r>
        <w:t>培养方案学分构成表（建议学分）</w:t>
      </w:r>
    </w:p>
    <w:tbl>
      <w:tblPr>
        <w:tblStyle w:val="TableGrid"/>
        <w:tblW w:w="8500" w:type="dxa"/>
        <w:tblInd w:w="1085" w:type="dxa"/>
        <w:tblCellMar>
          <w:top w:w="0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775"/>
        <w:gridCol w:w="2324"/>
        <w:gridCol w:w="2401"/>
      </w:tblGrid>
      <w:tr w:rsidR="003C0ED6">
        <w:trPr>
          <w:trHeight w:val="488"/>
        </w:trPr>
        <w:tc>
          <w:tcPr>
            <w:tcW w:w="3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0" w:line="259" w:lineRule="auto"/>
              <w:ind w:left="0" w:right="17" w:firstLine="0"/>
              <w:jc w:val="center"/>
            </w:pPr>
            <w:r>
              <w:t>课程性质</w:t>
            </w:r>
          </w:p>
        </w:tc>
        <w:tc>
          <w:tcPr>
            <w:tcW w:w="47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0" w:line="259" w:lineRule="auto"/>
              <w:ind w:left="0" w:right="17" w:firstLine="0"/>
              <w:jc w:val="center"/>
            </w:pPr>
            <w:r>
              <w:t>学分分配</w:t>
            </w:r>
          </w:p>
        </w:tc>
      </w:tr>
      <w:tr w:rsidR="003C0ED6">
        <w:trPr>
          <w:trHeight w:val="488"/>
        </w:trPr>
        <w:tc>
          <w:tcPr>
            <w:tcW w:w="3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0" w:line="259" w:lineRule="auto"/>
              <w:ind w:left="0" w:right="17" w:firstLine="0"/>
              <w:jc w:val="center"/>
            </w:pPr>
            <w:r>
              <w:t>通识教育平台</w:t>
            </w:r>
          </w:p>
        </w:tc>
        <w:tc>
          <w:tcPr>
            <w:tcW w:w="47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0" w:line="259" w:lineRule="auto"/>
              <w:ind w:left="0" w:right="17" w:firstLine="0"/>
              <w:jc w:val="center"/>
            </w:pPr>
            <w:r>
              <w:t>36</w:t>
            </w:r>
            <w:r>
              <w:t>学分</w:t>
            </w:r>
          </w:p>
        </w:tc>
      </w:tr>
      <w:tr w:rsidR="003C0ED6">
        <w:trPr>
          <w:trHeight w:val="488"/>
        </w:trPr>
        <w:tc>
          <w:tcPr>
            <w:tcW w:w="3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0" w:line="259" w:lineRule="auto"/>
              <w:ind w:left="0" w:right="17" w:firstLine="0"/>
              <w:jc w:val="center"/>
            </w:pPr>
            <w:r>
              <w:lastRenderedPageBreak/>
              <w:t>学科基础平台</w:t>
            </w:r>
          </w:p>
        </w:tc>
        <w:tc>
          <w:tcPr>
            <w:tcW w:w="47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0" w:line="259" w:lineRule="auto"/>
              <w:ind w:left="0" w:right="17" w:firstLine="0"/>
              <w:jc w:val="center"/>
            </w:pPr>
            <w:r>
              <w:t>≤30</w:t>
            </w:r>
            <w:r>
              <w:t>学分</w:t>
            </w:r>
          </w:p>
        </w:tc>
      </w:tr>
      <w:tr w:rsidR="003C0ED6">
        <w:trPr>
          <w:trHeight w:val="488"/>
        </w:trPr>
        <w:tc>
          <w:tcPr>
            <w:tcW w:w="3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0" w:line="259" w:lineRule="auto"/>
              <w:ind w:left="0" w:right="17" w:firstLine="0"/>
              <w:jc w:val="center"/>
            </w:pPr>
            <w:r>
              <w:t>专业教育平台</w:t>
            </w:r>
          </w:p>
        </w:tc>
        <w:tc>
          <w:tcPr>
            <w:tcW w:w="47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0" w:line="259" w:lineRule="auto"/>
              <w:ind w:left="0" w:right="17" w:firstLine="0"/>
              <w:jc w:val="center"/>
            </w:pPr>
            <w:r>
              <w:t>≤25</w:t>
            </w:r>
            <w:r>
              <w:t>学分</w:t>
            </w:r>
          </w:p>
        </w:tc>
      </w:tr>
      <w:tr w:rsidR="003C0ED6">
        <w:trPr>
          <w:trHeight w:val="1438"/>
        </w:trPr>
        <w:tc>
          <w:tcPr>
            <w:tcW w:w="3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0" w:line="259" w:lineRule="auto"/>
              <w:ind w:left="0" w:right="17" w:firstLine="0"/>
              <w:jc w:val="center"/>
            </w:pPr>
            <w:r>
              <w:t>实践教学平台</w:t>
            </w:r>
          </w:p>
        </w:tc>
        <w:tc>
          <w:tcPr>
            <w:tcW w:w="23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138" w:line="259" w:lineRule="auto"/>
              <w:ind w:left="0" w:right="17" w:firstLine="0"/>
              <w:jc w:val="center"/>
            </w:pPr>
            <w:r>
              <w:t>≥</w:t>
            </w:r>
            <w:r>
              <w:t>40</w:t>
            </w:r>
            <w:r>
              <w:t>学分</w:t>
            </w:r>
          </w:p>
          <w:p w:rsidR="003C0ED6" w:rsidRDefault="00D1406A">
            <w:pPr>
              <w:spacing w:after="0" w:line="259" w:lineRule="auto"/>
              <w:ind w:left="0" w:firstLine="0"/>
              <w:jc w:val="center"/>
            </w:pPr>
            <w:r>
              <w:t>（自然科学类专业）</w:t>
            </w:r>
          </w:p>
        </w:tc>
        <w:tc>
          <w:tcPr>
            <w:tcW w:w="2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138" w:line="259" w:lineRule="auto"/>
              <w:ind w:left="0" w:right="17" w:firstLine="0"/>
              <w:jc w:val="center"/>
            </w:pPr>
            <w:r>
              <w:t>≥30</w:t>
            </w:r>
            <w:r>
              <w:t>学分</w:t>
            </w:r>
          </w:p>
          <w:p w:rsidR="003C0ED6" w:rsidRDefault="00D1406A">
            <w:pPr>
              <w:spacing w:after="0" w:line="259" w:lineRule="auto"/>
              <w:ind w:left="0" w:firstLine="0"/>
              <w:jc w:val="center"/>
            </w:pPr>
            <w:r>
              <w:t>（人文社科类专业）</w:t>
            </w:r>
          </w:p>
        </w:tc>
      </w:tr>
      <w:tr w:rsidR="003C0ED6">
        <w:trPr>
          <w:trHeight w:val="488"/>
        </w:trPr>
        <w:tc>
          <w:tcPr>
            <w:tcW w:w="3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0" w:line="259" w:lineRule="auto"/>
              <w:ind w:left="0" w:right="17" w:firstLine="0"/>
              <w:jc w:val="center"/>
            </w:pPr>
            <w:r>
              <w:t>通识教育选修模块</w:t>
            </w:r>
          </w:p>
        </w:tc>
        <w:tc>
          <w:tcPr>
            <w:tcW w:w="47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0" w:line="259" w:lineRule="auto"/>
              <w:ind w:left="0" w:right="17" w:firstLine="0"/>
              <w:jc w:val="center"/>
            </w:pPr>
            <w:r>
              <w:t>8</w:t>
            </w:r>
            <w:r>
              <w:t>学分</w:t>
            </w:r>
          </w:p>
        </w:tc>
      </w:tr>
      <w:tr w:rsidR="003C0ED6">
        <w:trPr>
          <w:trHeight w:val="488"/>
        </w:trPr>
        <w:tc>
          <w:tcPr>
            <w:tcW w:w="3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0" w:line="259" w:lineRule="auto"/>
              <w:ind w:left="0" w:right="17" w:firstLine="0"/>
              <w:jc w:val="center"/>
            </w:pPr>
            <w:r>
              <w:t>学科基础选修模块</w:t>
            </w:r>
          </w:p>
        </w:tc>
        <w:tc>
          <w:tcPr>
            <w:tcW w:w="47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0" w:line="259" w:lineRule="auto"/>
              <w:ind w:left="0" w:right="17" w:firstLine="0"/>
              <w:jc w:val="center"/>
            </w:pPr>
            <w:r>
              <w:t>≤6</w:t>
            </w:r>
            <w:r>
              <w:t>学分</w:t>
            </w:r>
          </w:p>
        </w:tc>
      </w:tr>
      <w:tr w:rsidR="003C0ED6">
        <w:trPr>
          <w:trHeight w:val="488"/>
        </w:trPr>
        <w:tc>
          <w:tcPr>
            <w:tcW w:w="3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0" w:line="259" w:lineRule="auto"/>
              <w:ind w:left="0" w:right="17" w:firstLine="0"/>
              <w:jc w:val="center"/>
            </w:pPr>
            <w:r>
              <w:t>专业方向选修模块</w:t>
            </w:r>
          </w:p>
        </w:tc>
        <w:tc>
          <w:tcPr>
            <w:tcW w:w="47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0" w:line="259" w:lineRule="auto"/>
              <w:ind w:left="0" w:right="17" w:firstLine="0"/>
              <w:jc w:val="center"/>
            </w:pPr>
            <w:r>
              <w:t>≤14</w:t>
            </w:r>
            <w:r>
              <w:t>学分</w:t>
            </w:r>
          </w:p>
        </w:tc>
      </w:tr>
      <w:tr w:rsidR="003C0ED6">
        <w:trPr>
          <w:trHeight w:val="488"/>
        </w:trPr>
        <w:tc>
          <w:tcPr>
            <w:tcW w:w="3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0" w:line="259" w:lineRule="auto"/>
              <w:ind w:left="0" w:right="17" w:firstLine="0"/>
              <w:jc w:val="center"/>
            </w:pPr>
            <w:r>
              <w:t>创新创业模块</w:t>
            </w:r>
          </w:p>
        </w:tc>
        <w:tc>
          <w:tcPr>
            <w:tcW w:w="47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C0ED6" w:rsidRDefault="00D1406A">
            <w:pPr>
              <w:spacing w:after="0" w:line="259" w:lineRule="auto"/>
              <w:ind w:left="0" w:right="17" w:firstLine="0"/>
              <w:jc w:val="center"/>
            </w:pPr>
            <w:r>
              <w:t>4-6</w:t>
            </w:r>
            <w:r>
              <w:t>学分</w:t>
            </w:r>
          </w:p>
        </w:tc>
      </w:tr>
    </w:tbl>
    <w:p w:rsidR="003C0ED6" w:rsidRDefault="00D1406A">
      <w:pPr>
        <w:ind w:left="1513" w:right="37" w:firstLine="0"/>
      </w:pPr>
      <w:r>
        <w:rPr>
          <w:rFonts w:ascii="微软雅黑" w:eastAsia="微软雅黑" w:hAnsi="微软雅黑" w:cs="微软雅黑"/>
        </w:rPr>
        <w:t>①</w:t>
      </w:r>
      <w:r>
        <w:rPr>
          <w:rFonts w:ascii="微软雅黑" w:eastAsia="微软雅黑" w:hAnsi="微软雅黑" w:cs="微软雅黑"/>
        </w:rPr>
        <w:t>通识教育平台</w:t>
      </w:r>
      <w:r>
        <w:t>通识教育必修课程包含</w:t>
      </w:r>
      <w:proofErr w:type="gramStart"/>
      <w:r>
        <w:t>思政类</w:t>
      </w:r>
      <w:proofErr w:type="gramEnd"/>
      <w:r>
        <w:t>、大学英语类、体育类、公共计算机类、军事理论等课程，由学校统一设置，共计约</w:t>
      </w:r>
      <w:r>
        <w:t>36</w:t>
      </w:r>
      <w:r>
        <w:t>学分。具体要求如下：</w:t>
      </w:r>
    </w:p>
    <w:p w:rsidR="003C0ED6" w:rsidRDefault="00D1406A">
      <w:pPr>
        <w:ind w:left="948" w:right="37"/>
      </w:pPr>
      <w:proofErr w:type="gramStart"/>
      <w:r>
        <w:t>思政类</w:t>
      </w:r>
      <w:proofErr w:type="gramEnd"/>
      <w:r>
        <w:t>课程学分按照教育部有关规定设置，共计</w:t>
      </w:r>
      <w:r>
        <w:t>16</w:t>
      </w:r>
      <w:r>
        <w:t>学分。按照</w:t>
      </w:r>
      <w:r>
        <w:t>1</w:t>
      </w:r>
      <w:r>
        <w:t>：</w:t>
      </w:r>
      <w:r>
        <w:t xml:space="preserve"> 1</w:t>
      </w:r>
      <w:r>
        <w:t>的比例设置实践性课时，包括社会调查、生产劳动、志愿服务、公益活动、主题教育报告等，每门课程必须组织学生进行至少一次社会调查，并撰写调查报告，</w:t>
      </w:r>
      <w:r>
        <w:t>“</w:t>
      </w:r>
      <w:r>
        <w:t>形势与政策</w:t>
      </w:r>
      <w:r>
        <w:t>”</w:t>
      </w:r>
      <w:r>
        <w:t>课程建议全部以专题讲座形式授课。</w:t>
      </w:r>
    </w:p>
    <w:p w:rsidR="003C0ED6" w:rsidRDefault="00D1406A">
      <w:pPr>
        <w:ind w:left="948" w:right="37"/>
      </w:pPr>
      <w:r>
        <w:t>大学英语类课程</w:t>
      </w:r>
      <w:r>
        <w:t>“9+3”</w:t>
      </w:r>
      <w:r>
        <w:t>学分，在前三学期开设</w:t>
      </w:r>
      <w:r>
        <w:t>9</w:t>
      </w:r>
      <w:r>
        <w:t>个学分的大学英语，注重提高学生的语言运用能力。学生要选</w:t>
      </w:r>
      <w:r>
        <w:t>3</w:t>
      </w:r>
      <w:r>
        <w:t>个学分的高级英语课程；鼓励各专业设置双语课程，有条件的可开展全英语授课；建议取消专业英语。</w:t>
      </w:r>
    </w:p>
    <w:p w:rsidR="003C0ED6" w:rsidRDefault="00D1406A">
      <w:pPr>
        <w:ind w:left="948" w:right="37"/>
      </w:pPr>
      <w:r>
        <w:t>体育类课程</w:t>
      </w:r>
      <w:r>
        <w:t>2</w:t>
      </w:r>
      <w:r>
        <w:t>学分，分四个学期授课，建议采用俱乐部或专门协会的形式开展教学。</w:t>
      </w:r>
    </w:p>
    <w:p w:rsidR="003C0ED6" w:rsidRDefault="00D1406A">
      <w:pPr>
        <w:ind w:left="948" w:right="37"/>
      </w:pPr>
      <w:r>
        <w:t>公共计算机类课程</w:t>
      </w:r>
      <w:r>
        <w:t>2.25</w:t>
      </w:r>
      <w:r>
        <w:t>学分，模块化设置教学内容，供不</w:t>
      </w:r>
      <w:r>
        <w:t>同学科专业选择。</w:t>
      </w:r>
    </w:p>
    <w:p w:rsidR="003C0ED6" w:rsidRDefault="00D1406A">
      <w:pPr>
        <w:ind w:left="948" w:right="37"/>
      </w:pPr>
      <w:r>
        <w:t>军事理论类课程共</w:t>
      </w:r>
      <w:r>
        <w:t>2</w:t>
      </w:r>
      <w:r>
        <w:t>学分，其中军训</w:t>
      </w:r>
      <w:r>
        <w:t>1</w:t>
      </w:r>
      <w:r>
        <w:t>学分作为军事理论课程实践环节组织训练。</w:t>
      </w:r>
    </w:p>
    <w:p w:rsidR="003C0ED6" w:rsidRDefault="00D1406A">
      <w:pPr>
        <w:spacing w:after="138" w:line="259" w:lineRule="auto"/>
        <w:ind w:left="1511" w:right="37" w:firstLine="0"/>
      </w:pPr>
      <w:r>
        <w:t>文献检索课程</w:t>
      </w:r>
      <w:r>
        <w:t>1</w:t>
      </w:r>
      <w:r>
        <w:t>学分。</w:t>
      </w:r>
    </w:p>
    <w:p w:rsidR="003C0ED6" w:rsidRDefault="00D1406A">
      <w:pPr>
        <w:ind w:left="948" w:right="37"/>
      </w:pPr>
      <w:r>
        <w:t>新生研讨课</w:t>
      </w:r>
      <w:r>
        <w:t>1</w:t>
      </w:r>
      <w:r>
        <w:t>学分，在第一学期开设，由知名教授或专业带头人主讲，辅助企业专家、优秀毕业生或在校优秀学生专题讲座开展教学</w:t>
      </w:r>
      <w:r>
        <w:rPr>
          <w:rFonts w:ascii="微软雅黑" w:eastAsia="微软雅黑" w:hAnsi="微软雅黑" w:cs="微软雅黑"/>
        </w:rPr>
        <w:t>。</w:t>
      </w:r>
    </w:p>
    <w:p w:rsidR="003C0ED6" w:rsidRDefault="00D1406A">
      <w:pPr>
        <w:pStyle w:val="2"/>
        <w:ind w:left="1508"/>
      </w:pPr>
      <w:r>
        <w:lastRenderedPageBreak/>
        <w:t>②</w:t>
      </w:r>
      <w:r>
        <w:t>学科基础平台</w:t>
      </w:r>
    </w:p>
    <w:p w:rsidR="003C0ED6" w:rsidRDefault="00D1406A">
      <w:pPr>
        <w:ind w:left="948" w:right="37"/>
      </w:pPr>
      <w:r>
        <w:t>学科基础必修课程约</w:t>
      </w:r>
      <w:r>
        <w:t>30</w:t>
      </w:r>
      <w:r>
        <w:t>学分，由学校统一规划，共设置机械与交通类、电气与信息类、生化与材料类、文学与法学类、经济与管理类、土建类、地矿类、数学与物理类、外语类、艺术与体育类等</w:t>
      </w:r>
      <w:r>
        <w:t>10</w:t>
      </w:r>
      <w:r>
        <w:t>个大类，使学生接受本学科的基本知识与基本技能的训练，提高学生的专业适应能力。相同专业类</w:t>
      </w:r>
      <w:r>
        <w:t>的各专业学科基础必修课程原则上相同；对不属于同一个专业类</w:t>
      </w:r>
      <w:r>
        <w:t>,</w:t>
      </w:r>
      <w:r>
        <w:t>但专业基础要求相近的各专业，也应尽可能开设相同的学科基础必修课。</w:t>
      </w:r>
    </w:p>
    <w:p w:rsidR="003C0ED6" w:rsidRDefault="00D1406A">
      <w:pPr>
        <w:pStyle w:val="2"/>
        <w:ind w:left="1508"/>
      </w:pPr>
      <w:r>
        <w:t>③</w:t>
      </w:r>
      <w:r>
        <w:t>专业教育平台</w:t>
      </w:r>
    </w:p>
    <w:p w:rsidR="003C0ED6" w:rsidRDefault="00D1406A">
      <w:pPr>
        <w:ind w:left="948" w:right="37"/>
      </w:pPr>
      <w:r>
        <w:t>专业主干课程一般</w:t>
      </w:r>
      <w:r>
        <w:t>7-10</w:t>
      </w:r>
      <w:r>
        <w:t>门课程，每门课程</w:t>
      </w:r>
      <w:r>
        <w:t>2-3</w:t>
      </w:r>
      <w:r>
        <w:t>学分，应体现本专业</w:t>
      </w:r>
      <w:proofErr w:type="gramStart"/>
      <w:r>
        <w:t>最</w:t>
      </w:r>
      <w:proofErr w:type="gramEnd"/>
      <w:r>
        <w:t>基础、</w:t>
      </w:r>
      <w:proofErr w:type="gramStart"/>
      <w:r>
        <w:t>最</w:t>
      </w:r>
      <w:proofErr w:type="gramEnd"/>
      <w:r>
        <w:t>核心的知识，共计约</w:t>
      </w:r>
      <w:r>
        <w:t>25</w:t>
      </w:r>
      <w:r>
        <w:t>学分。请参考《普通高等学校本科专业目录和专业介绍（</w:t>
      </w:r>
      <w:r>
        <w:t>2012</w:t>
      </w:r>
      <w:r>
        <w:t>年）》确定。</w:t>
      </w:r>
    </w:p>
    <w:p w:rsidR="003C0ED6" w:rsidRDefault="00D1406A">
      <w:pPr>
        <w:pStyle w:val="2"/>
        <w:ind w:left="1508"/>
      </w:pPr>
      <w:r>
        <w:t>④</w:t>
      </w:r>
      <w:r>
        <w:t>实践教学平台</w:t>
      </w:r>
    </w:p>
    <w:p w:rsidR="003C0ED6" w:rsidRDefault="00D1406A">
      <w:pPr>
        <w:ind w:left="948" w:right="37"/>
      </w:pPr>
      <w:r>
        <w:t>自然科学类专业实践教学平台不低于</w:t>
      </w:r>
      <w:r>
        <w:t>40</w:t>
      </w:r>
      <w:r>
        <w:t>学分，包含课程实验、</w:t>
      </w:r>
      <w:proofErr w:type="gramStart"/>
      <w:r>
        <w:t>独立设</w:t>
      </w:r>
      <w:proofErr w:type="gramEnd"/>
      <w:r>
        <w:t>课实验和集中实践环节，毕业设计（论文）环节建议为</w:t>
      </w:r>
      <w:r>
        <w:t>15</w:t>
      </w:r>
      <w:r>
        <w:t>学分。人文社科类专业实践教学平台学分不低于</w:t>
      </w:r>
      <w:r>
        <w:t>30</w:t>
      </w:r>
      <w:r>
        <w:t>学分，包含实训、技能训练和集中实践环节，毕业设计（论文）环节建议不超过</w:t>
      </w:r>
      <w:r>
        <w:t>12</w:t>
      </w:r>
      <w:r>
        <w:t>学分。</w:t>
      </w:r>
    </w:p>
    <w:p w:rsidR="003C0ED6" w:rsidRDefault="00D1406A">
      <w:pPr>
        <w:pStyle w:val="2"/>
        <w:ind w:left="1508"/>
      </w:pPr>
      <w:r>
        <w:t>⑤</w:t>
      </w:r>
      <w:r>
        <w:t>通识选修模块</w:t>
      </w:r>
    </w:p>
    <w:p w:rsidR="003C0ED6" w:rsidRDefault="00D1406A">
      <w:pPr>
        <w:ind w:left="948" w:right="37"/>
      </w:pPr>
      <w:r>
        <w:t>通识教育选修课程包含文学与艺术、哲学与历史、经济与社会、科学与技术四个模块，大学生心理健康教育、中国传统文化两门课程为必选课程，共计</w:t>
      </w:r>
      <w:r>
        <w:t>2.5</w:t>
      </w:r>
      <w:r>
        <w:t>学分。学生可根据兴趣，按照学科相</w:t>
      </w:r>
      <w:proofErr w:type="gramStart"/>
      <w:r>
        <w:t>远原则</w:t>
      </w:r>
      <w:proofErr w:type="gramEnd"/>
      <w:r>
        <w:t>另外选修</w:t>
      </w:r>
      <w:r>
        <w:t>5.5</w:t>
      </w:r>
      <w:r>
        <w:t>学分。学生根据兴趣跨专业、跨学科选修的课程，可认定为通识选修学分。</w:t>
      </w:r>
    </w:p>
    <w:p w:rsidR="003C0ED6" w:rsidRDefault="00D1406A">
      <w:pPr>
        <w:pStyle w:val="2"/>
        <w:ind w:left="1508"/>
      </w:pPr>
      <w:r>
        <w:t>⑥</w:t>
      </w:r>
      <w:r>
        <w:t>学科选修模块</w:t>
      </w:r>
    </w:p>
    <w:p w:rsidR="003C0ED6" w:rsidRDefault="00D1406A">
      <w:pPr>
        <w:ind w:left="948" w:right="37"/>
      </w:pPr>
      <w:r>
        <w:t>未列入学科基础平台，</w:t>
      </w:r>
      <w:proofErr w:type="gramStart"/>
      <w:r>
        <w:t>且跨专业</w:t>
      </w:r>
      <w:proofErr w:type="gramEnd"/>
      <w:r>
        <w:t>、跨学院开设的课程均作为学科基础选修课程，用于拓宽学生视野，扩大学生知识面。</w:t>
      </w:r>
    </w:p>
    <w:p w:rsidR="003C0ED6" w:rsidRDefault="00D1406A">
      <w:pPr>
        <w:pStyle w:val="2"/>
        <w:ind w:left="1508"/>
      </w:pPr>
      <w:r>
        <w:lastRenderedPageBreak/>
        <w:t>⑦</w:t>
      </w:r>
      <w:r>
        <w:t>专业方向选修模块</w:t>
      </w:r>
    </w:p>
    <w:p w:rsidR="003C0ED6" w:rsidRDefault="00D1406A">
      <w:pPr>
        <w:ind w:left="948" w:right="37"/>
      </w:pPr>
      <w:r>
        <w:t>专业方向选修课</w:t>
      </w:r>
      <w:r>
        <w:t>程模块应根据社会发展的需求结合专业办学特色灵活设置，要反映本学科最新的研究成果，学生可根据兴趣、爱好、特长和能力等进行选课，为学生多样化成才创造良好的学习条件和发展空间。</w:t>
      </w:r>
    </w:p>
    <w:p w:rsidR="003C0ED6" w:rsidRDefault="00D1406A">
      <w:pPr>
        <w:pStyle w:val="2"/>
        <w:ind w:left="1508"/>
      </w:pPr>
      <w:r>
        <w:t>⑧</w:t>
      </w:r>
      <w:r>
        <w:t>创新创业模块</w:t>
      </w:r>
    </w:p>
    <w:p w:rsidR="003C0ED6" w:rsidRDefault="00D1406A">
      <w:pPr>
        <w:ind w:left="948" w:right="37"/>
      </w:pPr>
      <w:r>
        <w:t>包含原通识教育选修核心课程创新创业模块，学生需在此模块中选修课程，其中大学生创业基础、大学生就业指导、大学生职业生涯规划三门课程共计</w:t>
      </w:r>
      <w:r>
        <w:t>2</w:t>
      </w:r>
      <w:r>
        <w:t>学分，为必选课程。各个专业根据专业特色打造一门创新创业类课程，</w:t>
      </w:r>
      <w:r>
        <w:t>1-2</w:t>
      </w:r>
      <w:r>
        <w:t>学分。</w:t>
      </w:r>
    </w:p>
    <w:p w:rsidR="003C0ED6" w:rsidRDefault="00D1406A">
      <w:pPr>
        <w:ind w:left="948" w:right="37"/>
      </w:pPr>
      <w:r>
        <w:t>创新创业实践，</w:t>
      </w:r>
      <w:r>
        <w:t>1-2</w:t>
      </w:r>
      <w:r>
        <w:t>学分。学生在学科竞赛、论文、专利、创新创业实践、国</w:t>
      </w:r>
      <w:proofErr w:type="gramStart"/>
      <w:r>
        <w:t>创计划</w:t>
      </w:r>
      <w:proofErr w:type="gramEnd"/>
      <w:r>
        <w:t>项目等方面取得优异成绩，</w:t>
      </w:r>
      <w:proofErr w:type="gramStart"/>
      <w:r>
        <w:t>经创新</w:t>
      </w:r>
      <w:proofErr w:type="gramEnd"/>
      <w:r>
        <w:t>创业学院</w:t>
      </w:r>
      <w:r>
        <w:t>认定</w:t>
      </w:r>
    </w:p>
    <w:p w:rsidR="003C0ED6" w:rsidRDefault="00D1406A">
      <w:pPr>
        <w:ind w:left="948" w:right="37" w:firstLine="0"/>
      </w:pPr>
      <w:r>
        <w:t>后，记为创新创业实践学分（或者选修</w:t>
      </w:r>
      <w:r>
        <w:t>1-2</w:t>
      </w:r>
      <w:r>
        <w:t>个学分的其他创新创业类课程），认定学分超出的部分可替代通识任选课程学分，最高不超过</w:t>
      </w:r>
      <w:r>
        <w:t>4</w:t>
      </w:r>
      <w:r>
        <w:t>学分。</w:t>
      </w:r>
    </w:p>
    <w:p w:rsidR="003C0ED6" w:rsidRDefault="00D1406A">
      <w:pPr>
        <w:pStyle w:val="2"/>
        <w:ind w:left="1508"/>
      </w:pPr>
      <w:r>
        <w:t>四、实施要求</w:t>
      </w:r>
    </w:p>
    <w:p w:rsidR="003C0ED6" w:rsidRDefault="00D1406A">
      <w:pPr>
        <w:spacing w:line="366" w:lineRule="auto"/>
        <w:ind w:left="948" w:right="221"/>
        <w:jc w:val="both"/>
      </w:pPr>
      <w:r>
        <w:rPr>
          <w:rFonts w:ascii="微软雅黑" w:eastAsia="微软雅黑" w:hAnsi="微软雅黑" w:cs="微软雅黑"/>
        </w:rPr>
        <w:t>1.</w:t>
      </w:r>
      <w:r>
        <w:rPr>
          <w:rFonts w:ascii="微软雅黑" w:eastAsia="微软雅黑" w:hAnsi="微软雅黑" w:cs="微软雅黑"/>
        </w:rPr>
        <w:t>加强组织。</w:t>
      </w:r>
      <w:r>
        <w:t>各专业要高度重视、认真组织，成立人才培养方案修订工作小组，成员应包括社会用人单位代表、毕业生代表和校内外同行专家等。</w:t>
      </w:r>
    </w:p>
    <w:p w:rsidR="003C0ED6" w:rsidRDefault="00D1406A">
      <w:pPr>
        <w:ind w:left="948" w:right="37"/>
      </w:pPr>
      <w:r>
        <w:rPr>
          <w:rFonts w:ascii="微软雅黑" w:eastAsia="微软雅黑" w:hAnsi="微软雅黑" w:cs="微软雅黑"/>
        </w:rPr>
        <w:t>2.</w:t>
      </w:r>
      <w:r>
        <w:rPr>
          <w:rFonts w:ascii="微软雅黑" w:eastAsia="微软雅黑" w:hAnsi="微软雅黑" w:cs="微软雅黑"/>
        </w:rPr>
        <w:t>加强调研。</w:t>
      </w:r>
      <w:r>
        <w:t>选取三所国外高校和三所国内高校对标调研，同时深入企业、社会、毕业生开展调研，结合社会需求和学生发展需求，认真分析各门课程在学生成长成才中的作用，借鉴国内外高校同类专业人才培养的成功经验，准确定位人才培养目标，科学合理修订人才培养方案。</w:t>
      </w:r>
    </w:p>
    <w:p w:rsidR="003C0ED6" w:rsidRDefault="00D1406A">
      <w:pPr>
        <w:ind w:left="948" w:right="37"/>
      </w:pPr>
      <w:r>
        <w:rPr>
          <w:rFonts w:ascii="微软雅黑" w:eastAsia="微软雅黑" w:hAnsi="微软雅黑" w:cs="微软雅黑"/>
        </w:rPr>
        <w:t>3.</w:t>
      </w:r>
      <w:r>
        <w:rPr>
          <w:rFonts w:ascii="微软雅黑" w:eastAsia="微软雅黑" w:hAnsi="微软雅黑" w:cs="微软雅黑"/>
        </w:rPr>
        <w:t>加强协调。</w:t>
      </w:r>
      <w:r>
        <w:t>通识教育平台、学科基础平台跨学院、跨学科课程多，涉及面广，要加强学院之间的沟通与协调，共同商讨确定课程的学分、学时和授课内容，课程归属要明确；要深入研究学科知识体系，保证跨学院平台课程设置的合理性。</w:t>
      </w:r>
    </w:p>
    <w:p w:rsidR="003C0ED6" w:rsidRDefault="00D1406A">
      <w:pPr>
        <w:ind w:left="948" w:right="37"/>
      </w:pPr>
      <w:r>
        <w:rPr>
          <w:rFonts w:ascii="微软雅黑" w:eastAsia="微软雅黑" w:hAnsi="微软雅黑" w:cs="微软雅黑"/>
        </w:rPr>
        <w:lastRenderedPageBreak/>
        <w:t>4.</w:t>
      </w:r>
      <w:r>
        <w:rPr>
          <w:rFonts w:ascii="微软雅黑" w:eastAsia="微软雅黑" w:hAnsi="微软雅黑" w:cs="微软雅黑"/>
        </w:rPr>
        <w:t>加强落实。</w:t>
      </w:r>
      <w:r>
        <w:t>要科学制定专业人才培养目标，细化知识、素质、能力</w:t>
      </w:r>
      <w:r>
        <w:t>实现矩阵，保证课程体系的实质性优化；要继续加强课程建设与改革，保证学生发展与社会需求、课程设置与培养标准、课程教学与教学目标的高度契合。</w:t>
      </w:r>
    </w:p>
    <w:p w:rsidR="003C0ED6" w:rsidRDefault="00D1406A">
      <w:pPr>
        <w:pStyle w:val="2"/>
        <w:ind w:left="1508"/>
      </w:pPr>
      <w:r>
        <w:t>五、工作安排</w:t>
      </w:r>
      <w:r>
        <w:t xml:space="preserve"> 1.</w:t>
      </w:r>
      <w:r>
        <w:t>时间进度</w:t>
      </w:r>
    </w:p>
    <w:p w:rsidR="003C0ED6" w:rsidRDefault="00D1406A">
      <w:pPr>
        <w:spacing w:after="138" w:line="259" w:lineRule="auto"/>
        <w:ind w:left="1511" w:right="37" w:firstLine="0"/>
      </w:pPr>
      <w:r>
        <w:t>11</w:t>
      </w:r>
      <w:r>
        <w:t>月</w:t>
      </w:r>
      <w:r>
        <w:t>15</w:t>
      </w:r>
      <w:r>
        <w:t>日前：完成学科基础平台和专业课程平台的设置；</w:t>
      </w:r>
    </w:p>
    <w:p w:rsidR="003C0ED6" w:rsidRDefault="00D1406A">
      <w:pPr>
        <w:spacing w:after="138" w:line="259" w:lineRule="auto"/>
        <w:ind w:left="1511" w:right="37" w:firstLine="0"/>
      </w:pPr>
      <w:r>
        <w:t>11</w:t>
      </w:r>
      <w:r>
        <w:t>月</w:t>
      </w:r>
      <w:r>
        <w:t>30</w:t>
      </w:r>
      <w:r>
        <w:t>日前：完成人培养方案制订并组织论证；</w:t>
      </w:r>
    </w:p>
    <w:p w:rsidR="003C0ED6" w:rsidRDefault="00D1406A">
      <w:pPr>
        <w:spacing w:after="143" w:line="259" w:lineRule="auto"/>
        <w:ind w:left="1511" w:right="37" w:firstLine="0"/>
      </w:pPr>
      <w:r>
        <w:t>12</w:t>
      </w:r>
      <w:r>
        <w:t>月</w:t>
      </w:r>
      <w:r>
        <w:t>20</w:t>
      </w:r>
      <w:r>
        <w:t>日前：学校组织论证并形成终稿。</w:t>
      </w:r>
    </w:p>
    <w:p w:rsidR="003C0ED6" w:rsidRDefault="00D1406A">
      <w:pPr>
        <w:ind w:left="1511" w:right="3149" w:firstLine="3"/>
      </w:pPr>
      <w:r>
        <w:rPr>
          <w:rFonts w:ascii="微软雅黑" w:eastAsia="微软雅黑" w:hAnsi="微软雅黑" w:cs="微软雅黑"/>
        </w:rPr>
        <w:t>2.</w:t>
      </w:r>
      <w:r>
        <w:rPr>
          <w:rFonts w:ascii="微软雅黑" w:eastAsia="微软雅黑" w:hAnsi="微软雅黑" w:cs="微软雅黑"/>
        </w:rPr>
        <w:t>联系方式</w:t>
      </w:r>
      <w:r>
        <w:t>联系人：</w:t>
      </w:r>
      <w:proofErr w:type="gramStart"/>
      <w:r>
        <w:t>费杰</w:t>
      </w:r>
      <w:proofErr w:type="gramEnd"/>
      <w:r>
        <w:t xml:space="preserve">  </w:t>
      </w:r>
      <w:r>
        <w:t>郑兆青</w:t>
      </w:r>
      <w:r>
        <w:t xml:space="preserve">  </w:t>
      </w:r>
      <w:r>
        <w:t>电话：</w:t>
      </w:r>
      <w:r>
        <w:t>27-81967</w:t>
      </w:r>
    </w:p>
    <w:p w:rsidR="003C0ED6" w:rsidRDefault="00D1406A">
      <w:pPr>
        <w:spacing w:after="138" w:line="259" w:lineRule="auto"/>
        <w:ind w:left="1511" w:firstLine="0"/>
      </w:pPr>
      <w:r>
        <w:t xml:space="preserve"> </w:t>
      </w:r>
    </w:p>
    <w:p w:rsidR="003C0ED6" w:rsidRDefault="00D1406A">
      <w:pPr>
        <w:spacing w:after="138" w:line="259" w:lineRule="auto"/>
        <w:ind w:left="1511" w:right="37" w:firstLine="0"/>
      </w:pPr>
      <w:r>
        <w:t>附件：</w:t>
      </w:r>
      <w:r>
        <w:t>1.</w:t>
      </w:r>
      <w:r>
        <w:t>人才培养计划模板</w:t>
      </w:r>
    </w:p>
    <w:p w:rsidR="003C0ED6" w:rsidRDefault="00D1406A">
      <w:pPr>
        <w:spacing w:after="138" w:line="259" w:lineRule="auto"/>
        <w:ind w:left="2059" w:right="37" w:firstLine="0"/>
      </w:pPr>
      <w:r>
        <w:t xml:space="preserve">  2.</w:t>
      </w:r>
      <w:r>
        <w:t>学科基础平台成员名单</w:t>
      </w:r>
    </w:p>
    <w:p w:rsidR="003C0ED6" w:rsidRDefault="00D1406A">
      <w:pPr>
        <w:spacing w:after="138" w:line="259" w:lineRule="auto"/>
        <w:ind w:left="2059" w:right="37" w:firstLine="0"/>
      </w:pPr>
      <w:r>
        <w:t xml:space="preserve">  3.XX</w:t>
      </w:r>
      <w:r>
        <w:t>专业课程贡献度一览表</w:t>
      </w:r>
    </w:p>
    <w:p w:rsidR="003C0ED6" w:rsidRDefault="00D1406A">
      <w:pPr>
        <w:spacing w:after="138" w:line="259" w:lineRule="auto"/>
        <w:ind w:left="2059" w:firstLine="0"/>
      </w:pPr>
      <w:r>
        <w:t xml:space="preserve">                              </w:t>
      </w:r>
    </w:p>
    <w:p w:rsidR="003C0ED6" w:rsidRDefault="00D1406A">
      <w:pPr>
        <w:spacing w:after="138" w:line="259" w:lineRule="auto"/>
        <w:ind w:left="4009" w:hanging="10"/>
        <w:jc w:val="center"/>
      </w:pPr>
      <w:r>
        <w:t xml:space="preserve">    </w:t>
      </w:r>
      <w:r>
        <w:t>教务处</w:t>
      </w:r>
    </w:p>
    <w:p w:rsidR="003C0ED6" w:rsidRDefault="00D1406A">
      <w:pPr>
        <w:spacing w:after="403"/>
        <w:ind w:left="948" w:right="37" w:firstLine="0"/>
      </w:pPr>
      <w:r>
        <w:t xml:space="preserve">                                  2016</w:t>
      </w:r>
      <w:r>
        <w:t>年</w:t>
      </w:r>
      <w:r>
        <w:t>10</w:t>
      </w:r>
      <w:r>
        <w:t>月</w:t>
      </w:r>
      <w:r>
        <w:t>25</w:t>
      </w:r>
      <w:r>
        <w:t>日</w:t>
      </w:r>
      <w:r>
        <w:t xml:space="preserve">  </w:t>
      </w:r>
      <w:r>
        <w:rPr>
          <w:rFonts w:ascii="FangSong" w:eastAsia="FangSong" w:hAnsi="FangSong" w:cs="FangSong"/>
        </w:rPr>
        <w:t xml:space="preserve"> </w:t>
      </w:r>
    </w:p>
    <w:p w:rsidR="003C0ED6" w:rsidRDefault="00D1406A">
      <w:pPr>
        <w:spacing w:line="259" w:lineRule="auto"/>
        <w:ind w:left="2080" w:right="37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611510</wp:posOffset>
                </wp:positionH>
                <wp:positionV relativeFrom="paragraph">
                  <wp:posOffset>26495</wp:posOffset>
                </wp:positionV>
                <wp:extent cx="709351" cy="415828"/>
                <wp:effectExtent l="0" t="0" r="0" b="0"/>
                <wp:wrapSquare wrapText="bothSides"/>
                <wp:docPr id="4774" name="Group 4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351" cy="415828"/>
                          <a:chOff x="0" y="0"/>
                          <a:chExt cx="709351" cy="415828"/>
                        </a:xfrm>
                      </wpg:grpSpPr>
                      <pic:pic xmlns:pic="http://schemas.openxmlformats.org/drawingml/2006/picture">
                        <pic:nvPicPr>
                          <pic:cNvPr id="656" name="Picture 65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208" cy="2446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8" name="Picture 65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7049" y="0"/>
                            <a:ext cx="122302" cy="12230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2" name="Picture 66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7049" y="146763"/>
                            <a:ext cx="122302" cy="12230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6" name="Picture 66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7049" y="293526"/>
                            <a:ext cx="122302" cy="12230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774" style="width:55.8544pt;height:32.7424pt;position:absolute;mso-position-horizontal-relative:text;mso-position-horizontal:absolute;margin-left:48.1504pt;mso-position-vertical-relative:text;margin-top:2.08618pt;" coordsize="7093,4158">
                <v:shape id="Picture 656" style="position:absolute;width:4892;height:2446;left:0;top:0;" filled="f">
                  <v:imagedata r:id="rId8"/>
                </v:shape>
                <v:shape id="Picture 658" style="position:absolute;width:1223;height:1223;left:5870;top:0;" filled="f">
                  <v:imagedata r:id="rId9"/>
                </v:shape>
                <v:shape id="Picture 662" style="position:absolute;width:1223;height:1223;left:5870;top:1467;" filled="f">
                  <v:imagedata r:id="rId9"/>
                </v:shape>
                <v:shape id="Picture 666" style="position:absolute;width:1223;height:1223;left:5870;top:2935;" filled="f">
                  <v:imagedata r:id="rId9"/>
                </v:shape>
                <w10:wrap type="square"/>
              </v:group>
            </w:pict>
          </mc:Fallback>
        </mc:AlternateContent>
      </w:r>
      <w:r>
        <w:t>1.</w:t>
      </w:r>
      <w:r>
        <w:t>人才培养方案模板</w:t>
      </w:r>
      <w:r>
        <w:t>.doc</w:t>
      </w:r>
      <w:r>
        <w:rPr>
          <w:rFonts w:ascii="Microsoft YaHei UI" w:eastAsia="Microsoft YaHei UI" w:hAnsi="Microsoft YaHei UI" w:cs="Microsoft YaHei UI"/>
          <w:sz w:val="24"/>
          <w:vertAlign w:val="subscript"/>
        </w:rPr>
        <w:t xml:space="preserve"> </w:t>
      </w:r>
    </w:p>
    <w:p w:rsidR="003C0ED6" w:rsidRDefault="00D1406A">
      <w:pPr>
        <w:spacing w:line="259" w:lineRule="auto"/>
        <w:ind w:left="2080" w:right="37" w:firstLine="0"/>
      </w:pPr>
      <w:r>
        <w:t>2.</w:t>
      </w:r>
      <w:r>
        <w:t>学科基础平台成员组成</w:t>
      </w:r>
      <w:r>
        <w:t>.doc</w:t>
      </w:r>
      <w:r>
        <w:rPr>
          <w:rFonts w:ascii="Microsoft YaHei UI" w:eastAsia="Microsoft YaHei UI" w:hAnsi="Microsoft YaHei UI" w:cs="Microsoft YaHei UI"/>
          <w:sz w:val="24"/>
          <w:vertAlign w:val="subscript"/>
        </w:rPr>
        <w:t xml:space="preserve"> </w:t>
      </w:r>
    </w:p>
    <w:p w:rsidR="003C0ED6" w:rsidRDefault="00D1406A">
      <w:pPr>
        <w:spacing w:line="259" w:lineRule="auto"/>
        <w:ind w:left="2080" w:right="37" w:firstLine="0"/>
      </w:pPr>
      <w:r>
        <w:t>3.XX</w:t>
      </w:r>
      <w:r>
        <w:t>专业课程贡献度一览表</w:t>
      </w:r>
      <w:r>
        <w:t>.doc</w:t>
      </w:r>
      <w:r>
        <w:rPr>
          <w:rFonts w:ascii="Microsoft YaHei UI" w:eastAsia="Microsoft YaHei UI" w:hAnsi="Microsoft YaHei UI" w:cs="Microsoft YaHei UI"/>
          <w:sz w:val="24"/>
          <w:vertAlign w:val="subscript"/>
        </w:rPr>
        <w:t xml:space="preserve"> </w:t>
      </w:r>
    </w:p>
    <w:sectPr w:rsidR="003C0E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678" w:right="1477" w:bottom="685" w:left="683" w:header="315" w:footer="3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06A" w:rsidRDefault="00D1406A">
      <w:pPr>
        <w:spacing w:after="0" w:line="240" w:lineRule="auto"/>
      </w:pPr>
      <w:r>
        <w:separator/>
      </w:r>
    </w:p>
  </w:endnote>
  <w:endnote w:type="continuationSeparator" w:id="0">
    <w:p w:rsidR="00D1406A" w:rsidRDefault="00D14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imSun-PUA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ED6" w:rsidRDefault="00D1406A">
    <w:pPr>
      <w:tabs>
        <w:tab w:val="right" w:pos="10706"/>
      </w:tabs>
      <w:spacing w:after="0" w:line="259" w:lineRule="auto"/>
      <w:ind w:left="-163" w:right="-966" w:firstLine="0"/>
    </w:pPr>
    <w:r>
      <w:rPr>
        <w:rFonts w:ascii="Arial" w:eastAsia="Arial" w:hAnsi="Arial" w:cs="Arial"/>
        <w:sz w:val="16"/>
      </w:rPr>
      <w:t>http://172.18.103.176/fullScreenNotice.action?id=8079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16"/>
      </w:rPr>
      <w:t>6</w:t>
    </w:r>
    <w:r>
      <w:rPr>
        <w:rFonts w:ascii="Arial" w:eastAsia="Arial" w:hAnsi="Arial"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ED6" w:rsidRDefault="00D1406A">
    <w:pPr>
      <w:tabs>
        <w:tab w:val="right" w:pos="10706"/>
      </w:tabs>
      <w:spacing w:after="0" w:line="259" w:lineRule="auto"/>
      <w:ind w:left="-163" w:right="-966" w:firstLine="0"/>
    </w:pPr>
    <w:r>
      <w:rPr>
        <w:rFonts w:ascii="Arial" w:eastAsia="Arial" w:hAnsi="Arial" w:cs="Arial"/>
        <w:sz w:val="16"/>
      </w:rPr>
      <w:t>http://172.18.103.176/fullScreenNotice.action?id=8079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B57BBB" w:rsidRPr="00B57BBB">
      <w:rPr>
        <w:rFonts w:ascii="Arial" w:eastAsia="Arial" w:hAnsi="Arial" w:cs="Arial"/>
        <w:noProof/>
        <w:sz w:val="16"/>
      </w:rPr>
      <w:t>7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 w:rsidR="00B57BBB" w:rsidRPr="00B57BBB">
      <w:rPr>
        <w:rFonts w:ascii="Arial" w:eastAsia="Arial" w:hAnsi="Arial" w:cs="Arial"/>
        <w:noProof/>
        <w:sz w:val="16"/>
      </w:rPr>
      <w:t>7</w:t>
    </w:r>
    <w:r>
      <w:rPr>
        <w:rFonts w:ascii="Arial" w:eastAsia="Arial" w:hAnsi="Arial" w:cs="Arial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ED6" w:rsidRDefault="00D1406A">
    <w:pPr>
      <w:tabs>
        <w:tab w:val="right" w:pos="10706"/>
      </w:tabs>
      <w:spacing w:after="0" w:line="259" w:lineRule="auto"/>
      <w:ind w:left="-163" w:right="-966" w:firstLine="0"/>
    </w:pPr>
    <w:r>
      <w:rPr>
        <w:rFonts w:ascii="Arial" w:eastAsia="Arial" w:hAnsi="Arial" w:cs="Arial"/>
        <w:sz w:val="16"/>
      </w:rPr>
      <w:t>http://172.18.103.176/fullScreenNotice.action?id=8079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16"/>
      </w:rPr>
      <w:t>6</w:t>
    </w:r>
    <w:r>
      <w:rPr>
        <w:rFonts w:ascii="Arial" w:eastAsia="Arial" w:hAnsi="Arial"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06A" w:rsidRDefault="00D1406A">
      <w:pPr>
        <w:spacing w:after="0" w:line="240" w:lineRule="auto"/>
      </w:pPr>
      <w:r>
        <w:separator/>
      </w:r>
    </w:p>
  </w:footnote>
  <w:footnote w:type="continuationSeparator" w:id="0">
    <w:p w:rsidR="00D1406A" w:rsidRDefault="00D14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ED6" w:rsidRDefault="00D1406A">
    <w:pPr>
      <w:tabs>
        <w:tab w:val="center" w:pos="5697"/>
      </w:tabs>
      <w:spacing w:after="0" w:line="259" w:lineRule="auto"/>
      <w:ind w:left="-163" w:firstLine="0"/>
    </w:pPr>
    <w:r>
      <w:rPr>
        <w:rFonts w:ascii="Arial" w:eastAsia="Arial" w:hAnsi="Arial" w:cs="Arial"/>
        <w:sz w:val="16"/>
      </w:rPr>
      <w:t>2017/10/19</w:t>
    </w:r>
    <w:r>
      <w:rPr>
        <w:rFonts w:ascii="Arial" w:eastAsia="Arial" w:hAnsi="Arial" w:cs="Arial"/>
        <w:sz w:val="16"/>
      </w:rPr>
      <w:tab/>
    </w:r>
    <w:r>
      <w:rPr>
        <w:rFonts w:ascii="SimSun-PUA" w:eastAsia="SimSun-PUA" w:hAnsi="SimSun-PUA" w:cs="SimSun-PUA"/>
        <w:sz w:val="16"/>
      </w:rPr>
      <w:t>处室通知正文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ED6" w:rsidRDefault="00D1406A">
    <w:pPr>
      <w:tabs>
        <w:tab w:val="center" w:pos="5697"/>
      </w:tabs>
      <w:spacing w:after="0" w:line="259" w:lineRule="auto"/>
      <w:ind w:left="-163" w:firstLine="0"/>
    </w:pPr>
    <w:r>
      <w:rPr>
        <w:rFonts w:ascii="Arial" w:eastAsia="Arial" w:hAnsi="Arial" w:cs="Arial"/>
        <w:sz w:val="16"/>
      </w:rPr>
      <w:t>2017/10/19</w:t>
    </w:r>
    <w:r>
      <w:rPr>
        <w:rFonts w:ascii="Arial" w:eastAsia="Arial" w:hAnsi="Arial" w:cs="Arial"/>
        <w:sz w:val="16"/>
      </w:rPr>
      <w:tab/>
    </w:r>
    <w:r>
      <w:rPr>
        <w:rFonts w:ascii="SimSun-PUA" w:eastAsia="SimSun-PUA" w:hAnsi="SimSun-PUA" w:cs="SimSun-PUA"/>
        <w:sz w:val="16"/>
      </w:rPr>
      <w:t>处室通知正文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ED6" w:rsidRDefault="00D1406A">
    <w:pPr>
      <w:tabs>
        <w:tab w:val="center" w:pos="5697"/>
      </w:tabs>
      <w:spacing w:after="0" w:line="259" w:lineRule="auto"/>
      <w:ind w:left="-163" w:firstLine="0"/>
    </w:pPr>
    <w:r>
      <w:rPr>
        <w:rFonts w:ascii="Arial" w:eastAsia="Arial" w:hAnsi="Arial" w:cs="Arial"/>
        <w:sz w:val="16"/>
      </w:rPr>
      <w:t>2017/10/19</w:t>
    </w:r>
    <w:r>
      <w:rPr>
        <w:rFonts w:ascii="Arial" w:eastAsia="Arial" w:hAnsi="Arial" w:cs="Arial"/>
        <w:sz w:val="16"/>
      </w:rPr>
      <w:tab/>
    </w:r>
    <w:r>
      <w:rPr>
        <w:rFonts w:ascii="SimSun-PUA" w:eastAsia="SimSun-PUA" w:hAnsi="SimSun-PUA" w:cs="SimSun-PUA"/>
        <w:sz w:val="16"/>
      </w:rPr>
      <w:t>处室通知正文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D6"/>
    <w:rsid w:val="003C0ED6"/>
    <w:rsid w:val="00B57BBB"/>
    <w:rsid w:val="00D1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E964ED"/>
  <w15:docId w15:val="{8CA3C66C-0613-4B67-ABE3-C9753FEC4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368" w:lineRule="auto"/>
      <w:ind w:left="914" w:firstLine="540"/>
    </w:pPr>
    <w:rPr>
      <w:rFonts w:ascii="仿宋_GB2312" w:eastAsia="仿宋_GB2312" w:hAnsi="仿宋_GB2312" w:cs="仿宋_GB2312"/>
      <w:color w:val="000000"/>
      <w:sz w:val="27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line="259" w:lineRule="auto"/>
      <w:ind w:left="910"/>
      <w:jc w:val="center"/>
      <w:outlineLvl w:val="0"/>
    </w:pPr>
    <w:rPr>
      <w:rFonts w:ascii="微软雅黑" w:eastAsia="微软雅黑" w:hAnsi="微软雅黑" w:cs="微软雅黑"/>
      <w:color w:val="000000"/>
      <w:sz w:val="3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23" w:line="259" w:lineRule="auto"/>
      <w:ind w:left="1523" w:hanging="10"/>
      <w:outlineLvl w:val="1"/>
    </w:pPr>
    <w:rPr>
      <w:rFonts w:ascii="微软雅黑" w:eastAsia="微软雅黑" w:hAnsi="微软雅黑" w:cs="微软雅黑"/>
      <w:color w:val="000000"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Pr>
      <w:rFonts w:ascii="微软雅黑" w:eastAsia="微软雅黑" w:hAnsi="微软雅黑" w:cs="微软雅黑"/>
      <w:color w:val="000000"/>
      <w:sz w:val="27"/>
    </w:rPr>
  </w:style>
  <w:style w:type="character" w:customStyle="1" w:styleId="10">
    <w:name w:val="标题 1 字符"/>
    <w:link w:val="1"/>
    <w:rPr>
      <w:rFonts w:ascii="微软雅黑" w:eastAsia="微软雅黑" w:hAnsi="微软雅黑" w:cs="微软雅黑"/>
      <w:color w:val="000000"/>
      <w:sz w:val="3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0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655</Words>
  <Characters>3739</Characters>
  <Application>Microsoft Office Word</Application>
  <DocSecurity>0</DocSecurity>
  <Lines>31</Lines>
  <Paragraphs>8</Paragraphs>
  <ScaleCrop>false</ScaleCrop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cp:lastModifiedBy>nan</cp:lastModifiedBy>
  <cp:revision>2</cp:revision>
  <dcterms:created xsi:type="dcterms:W3CDTF">2017-10-19T09:04:00Z</dcterms:created>
  <dcterms:modified xsi:type="dcterms:W3CDTF">2017-10-19T09:04:00Z</dcterms:modified>
</cp:coreProperties>
</file>