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A383C" w:rsidRDefault="009A383C" w:rsidP="009A383C">
      <w:pPr>
        <w:spacing w:after="0" w:line="259" w:lineRule="auto"/>
        <w:ind w:left="0" w:firstLine="0"/>
        <w:jc w:val="both"/>
        <w:rPr>
          <w:rFonts w:ascii="仿宋" w:eastAsia="仿宋" w:hAnsi="仿宋" w:cs="SimSun-PUA"/>
          <w:color w:val="auto"/>
          <w:szCs w:val="32"/>
        </w:rPr>
      </w:pPr>
      <w:r w:rsidRPr="009A383C">
        <w:rPr>
          <w:rFonts w:ascii="仿宋" w:eastAsia="仿宋" w:hAnsi="仿宋" w:cs="SimSun-PUA" w:hint="eastAsia"/>
          <w:color w:val="auto"/>
          <w:szCs w:val="32"/>
        </w:rPr>
        <w:t>附件12.1：</w:t>
      </w:r>
    </w:p>
    <w:p w:rsidR="00F719DC" w:rsidRPr="009A383C" w:rsidRDefault="00F719DC" w:rsidP="009A383C">
      <w:pPr>
        <w:spacing w:after="0" w:line="259" w:lineRule="auto"/>
        <w:ind w:left="0" w:firstLine="0"/>
        <w:jc w:val="both"/>
        <w:rPr>
          <w:rFonts w:ascii="仿宋" w:eastAsia="仿宋" w:hAnsi="仿宋" w:cs="SimSun-PUA" w:hint="eastAsia"/>
          <w:color w:val="auto"/>
          <w:szCs w:val="32"/>
        </w:rPr>
      </w:pPr>
    </w:p>
    <w:p w:rsidR="00BA2A91" w:rsidRDefault="00A35F19">
      <w:pPr>
        <w:spacing w:after="0" w:line="259" w:lineRule="auto"/>
        <w:ind w:left="883" w:firstLine="0"/>
      </w:pPr>
      <w:r>
        <w:rPr>
          <w:rFonts w:ascii="SimSun-PUA" w:eastAsia="SimSun-PUA" w:hAnsi="SimSun-PUA" w:cs="SimSun-PUA"/>
          <w:color w:val="FF0000"/>
          <w:sz w:val="75"/>
        </w:rPr>
        <w:t>山东理工大学教务处</w:t>
      </w:r>
    </w:p>
    <w:p w:rsidR="00BA2A91" w:rsidRDefault="00A35F19">
      <w:pPr>
        <w:spacing w:after="716" w:line="259" w:lineRule="auto"/>
        <w:ind w:left="144" w:firstLine="0"/>
      </w:pPr>
      <w:r>
        <w:rPr>
          <w:rFonts w:ascii="SimSun-PUA" w:eastAsia="SimSun-PUA" w:hAnsi="SimSun-PUA" w:cs="SimSun-PUA"/>
          <w:color w:val="FF0000"/>
          <w:sz w:val="18"/>
        </w:rPr>
        <w:t>===========================================================</w:t>
      </w:r>
      <w:r w:rsidR="004543AE">
        <w:rPr>
          <w:rFonts w:ascii="SimSun-PUA" w:eastAsia="SimSun-PUA" w:hAnsi="SimSun-PUA" w:cs="SimSun-PUA"/>
          <w:color w:val="FF0000"/>
          <w:sz w:val="18"/>
        </w:rPr>
        <w:t>========================</w:t>
      </w:r>
    </w:p>
    <w:p w:rsidR="00BA2A91" w:rsidRDefault="00A35F19" w:rsidP="009A383C">
      <w:pPr>
        <w:spacing w:after="137" w:line="259" w:lineRule="auto"/>
        <w:ind w:firstLine="0"/>
        <w:jc w:val="right"/>
      </w:pPr>
      <w:r>
        <w:rPr>
          <w:rFonts w:ascii="Calibri" w:eastAsia="Calibri" w:hAnsi="Calibri" w:cs="Calibri"/>
          <w:sz w:val="21"/>
        </w:rPr>
        <w:t xml:space="preserve">                                             </w:t>
      </w:r>
      <w:r>
        <w:rPr>
          <w:sz w:val="21"/>
        </w:rPr>
        <w:t xml:space="preserve"> </w:t>
      </w:r>
      <w:r>
        <w:t xml:space="preserve">教务函〔2017〕118号 </w:t>
      </w:r>
    </w:p>
    <w:p w:rsidR="004543AE" w:rsidRDefault="004543AE" w:rsidP="009A383C">
      <w:pPr>
        <w:spacing w:after="137" w:line="259" w:lineRule="auto"/>
        <w:ind w:firstLine="0"/>
        <w:jc w:val="right"/>
      </w:pPr>
    </w:p>
    <w:p w:rsidR="004543AE" w:rsidRDefault="00A35F19" w:rsidP="004543AE">
      <w:pPr>
        <w:spacing w:after="12" w:line="275" w:lineRule="auto"/>
        <w:ind w:left="0" w:firstLine="0"/>
        <w:jc w:val="center"/>
        <w:rPr>
          <w:rFonts w:ascii="SimSun-PUA" w:eastAsiaTheme="minorEastAsia" w:hAnsi="SimSun-PUA" w:cs="SimSun-PUA"/>
          <w:sz w:val="44"/>
        </w:rPr>
      </w:pPr>
      <w:r>
        <w:rPr>
          <w:rFonts w:ascii="SimSun-PUA" w:eastAsia="SimSun-PUA" w:hAnsi="SimSun-PUA" w:cs="SimSun-PUA"/>
          <w:sz w:val="44"/>
        </w:rPr>
        <w:t>关于印发</w:t>
      </w:r>
      <w:proofErr w:type="gramStart"/>
      <w:r>
        <w:rPr>
          <w:rFonts w:ascii="SimSun-PUA" w:eastAsia="SimSun-PUA" w:hAnsi="SimSun-PUA" w:cs="SimSun-PUA"/>
          <w:sz w:val="44"/>
        </w:rPr>
        <w:t>《</w:t>
      </w:r>
      <w:proofErr w:type="gramEnd"/>
      <w:r>
        <w:rPr>
          <w:rFonts w:ascii="SimSun-PUA" w:eastAsia="SimSun-PUA" w:hAnsi="SimSun-PUA" w:cs="SimSun-PUA"/>
          <w:sz w:val="44"/>
        </w:rPr>
        <w:t>山东理工大学关于山东省高水平</w:t>
      </w:r>
    </w:p>
    <w:p w:rsidR="004543AE" w:rsidRDefault="00A35F19" w:rsidP="004543AE">
      <w:pPr>
        <w:spacing w:after="12" w:line="275" w:lineRule="auto"/>
        <w:ind w:left="0" w:firstLine="0"/>
        <w:jc w:val="center"/>
        <w:rPr>
          <w:rFonts w:ascii="SimSun-PUA" w:eastAsiaTheme="minorEastAsia" w:hAnsi="SimSun-PUA" w:cs="SimSun-PUA"/>
          <w:sz w:val="44"/>
        </w:rPr>
      </w:pPr>
      <w:r>
        <w:rPr>
          <w:rFonts w:ascii="SimSun-PUA" w:eastAsia="SimSun-PUA" w:hAnsi="SimSun-PUA" w:cs="SimSun-PUA"/>
          <w:sz w:val="44"/>
        </w:rPr>
        <w:t>应用型立项建设专业的管理办法</w:t>
      </w:r>
      <w:proofErr w:type="gramStart"/>
      <w:r>
        <w:rPr>
          <w:rFonts w:ascii="SimSun-PUA" w:eastAsia="SimSun-PUA" w:hAnsi="SimSun-PUA" w:cs="SimSun-PUA"/>
          <w:sz w:val="44"/>
        </w:rPr>
        <w:t>》</w:t>
      </w:r>
      <w:proofErr w:type="gramEnd"/>
      <w:r>
        <w:rPr>
          <w:rFonts w:ascii="SimSun-PUA" w:eastAsia="SimSun-PUA" w:hAnsi="SimSun-PUA" w:cs="SimSun-PUA"/>
          <w:sz w:val="44"/>
        </w:rPr>
        <w:t>等规章</w:t>
      </w:r>
    </w:p>
    <w:p w:rsidR="00BA2A91" w:rsidRPr="004543AE" w:rsidRDefault="00A35F19" w:rsidP="004543AE">
      <w:pPr>
        <w:spacing w:after="12" w:line="275" w:lineRule="auto"/>
        <w:ind w:left="0" w:firstLine="0"/>
        <w:jc w:val="center"/>
        <w:rPr>
          <w:rFonts w:ascii="SimSun-PUA" w:eastAsiaTheme="minorEastAsia" w:hAnsi="SimSun-PUA" w:cs="SimSun-PUA"/>
          <w:sz w:val="44"/>
        </w:rPr>
      </w:pPr>
      <w:r>
        <w:rPr>
          <w:rFonts w:ascii="SimSun-PUA" w:eastAsia="SimSun-PUA" w:hAnsi="SimSun-PUA" w:cs="SimSun-PUA"/>
          <w:sz w:val="44"/>
        </w:rPr>
        <w:t>制度的通知</w:t>
      </w:r>
    </w:p>
    <w:p w:rsidR="00BA2A91" w:rsidRDefault="00A35F19">
      <w:pPr>
        <w:spacing w:after="101" w:line="259" w:lineRule="auto"/>
        <w:ind w:left="118" w:firstLine="0"/>
      </w:pPr>
      <w:r>
        <w:t xml:space="preserve">  </w:t>
      </w:r>
    </w:p>
    <w:p w:rsidR="00BA2A91" w:rsidRDefault="00A35F19">
      <w:pPr>
        <w:spacing w:after="142" w:line="259" w:lineRule="auto"/>
        <w:ind w:left="103" w:firstLine="0"/>
      </w:pPr>
      <w:r>
        <w:t xml:space="preserve">各学院、有关部门： </w:t>
      </w:r>
    </w:p>
    <w:p w:rsidR="00BA2A91" w:rsidRDefault="00A35F19">
      <w:pPr>
        <w:ind w:left="103"/>
      </w:pPr>
      <w:r>
        <w:t xml:space="preserve">《山东理工大学关于山东省高水平应用型立项建设专业的管理办法》《山东理工大学关于山东省高水平应用型立项建设专业的专项资金管理办法》等两个规章制度业经研究同意，现印发给你们，请认真贯彻执行。 </w:t>
      </w:r>
    </w:p>
    <w:p w:rsidR="00BA2A91" w:rsidRDefault="00A35F19">
      <w:pPr>
        <w:spacing w:after="31" w:line="259" w:lineRule="auto"/>
        <w:ind w:left="758" w:firstLine="0"/>
      </w:pPr>
      <w:r>
        <w:t xml:space="preserve">  </w:t>
      </w:r>
    </w:p>
    <w:p w:rsidR="00BA2A91" w:rsidRDefault="00A35F19">
      <w:pPr>
        <w:spacing w:after="31" w:line="259" w:lineRule="auto"/>
        <w:ind w:left="758" w:firstLine="0"/>
      </w:pPr>
      <w:r>
        <w:t xml:space="preserve">                              </w:t>
      </w:r>
    </w:p>
    <w:p w:rsidR="00BA2A91" w:rsidRDefault="00A35F19">
      <w:pPr>
        <w:spacing w:after="31" w:line="259" w:lineRule="auto"/>
        <w:ind w:left="10" w:right="509" w:hanging="10"/>
        <w:jc w:val="right"/>
      </w:pPr>
      <w:r>
        <w:t xml:space="preserve">山东理工大学教务处 </w:t>
      </w:r>
    </w:p>
    <w:p w:rsidR="00BA2A91" w:rsidRDefault="00A35F19">
      <w:pPr>
        <w:spacing w:after="31" w:line="259" w:lineRule="auto"/>
        <w:ind w:left="758" w:firstLine="0"/>
      </w:pPr>
      <w:r>
        <w:t xml:space="preserve">                           </w:t>
      </w:r>
      <w:r w:rsidR="009A383C">
        <w:rPr>
          <w:rFonts w:asciiTheme="minorEastAsia" w:eastAsiaTheme="minorEastAsia" w:hAnsiTheme="minorEastAsia" w:hint="eastAsia"/>
        </w:rPr>
        <w:t xml:space="preserve">                          </w:t>
      </w:r>
      <w:r>
        <w:t xml:space="preserve">  2017年10月10日 </w:t>
      </w:r>
    </w:p>
    <w:p w:rsidR="00BA2A91" w:rsidRDefault="00A35F19">
      <w:pPr>
        <w:spacing w:after="32" w:line="259" w:lineRule="auto"/>
        <w:ind w:left="758" w:firstLine="0"/>
      </w:pPr>
      <w:r>
        <w:t xml:space="preserve">  </w:t>
      </w:r>
    </w:p>
    <w:p w:rsidR="00BA2A91" w:rsidRDefault="00A35F19">
      <w:pPr>
        <w:spacing w:after="31" w:line="259" w:lineRule="auto"/>
        <w:ind w:left="758" w:firstLine="0"/>
      </w:pPr>
      <w:r>
        <w:t xml:space="preserve">  </w:t>
      </w:r>
    </w:p>
    <w:p w:rsidR="00BA2A91" w:rsidRDefault="00A35F19">
      <w:pPr>
        <w:spacing w:after="31" w:line="259" w:lineRule="auto"/>
        <w:ind w:left="758" w:firstLine="0"/>
      </w:pPr>
      <w:r>
        <w:t xml:space="preserve">  </w:t>
      </w:r>
    </w:p>
    <w:p w:rsidR="00BA2A91" w:rsidRDefault="00A35F19">
      <w:pPr>
        <w:spacing w:after="31" w:line="259" w:lineRule="auto"/>
        <w:ind w:left="758" w:firstLine="0"/>
      </w:pPr>
      <w:r>
        <w:t xml:space="preserve">  </w:t>
      </w:r>
    </w:p>
    <w:p w:rsidR="00BA2A91" w:rsidRDefault="00A35F19">
      <w:pPr>
        <w:spacing w:after="31" w:line="259" w:lineRule="auto"/>
        <w:ind w:left="758" w:firstLine="0"/>
      </w:pPr>
      <w:r>
        <w:t xml:space="preserve">  </w:t>
      </w:r>
    </w:p>
    <w:p w:rsidR="00BA2A91" w:rsidRDefault="00A35F19">
      <w:pPr>
        <w:spacing w:after="31" w:line="259" w:lineRule="auto"/>
        <w:ind w:left="758" w:firstLine="0"/>
      </w:pPr>
      <w:r>
        <w:lastRenderedPageBreak/>
        <w:t xml:space="preserve">  </w:t>
      </w:r>
    </w:p>
    <w:p w:rsidR="00F719DC" w:rsidRDefault="00A35F19" w:rsidP="00F719DC">
      <w:pPr>
        <w:spacing w:after="12" w:line="275" w:lineRule="auto"/>
        <w:ind w:left="1836" w:hanging="1335"/>
        <w:jc w:val="center"/>
        <w:rPr>
          <w:rFonts w:ascii="SimSun-PUA" w:eastAsiaTheme="minorEastAsia" w:hAnsi="SimSun-PUA" w:cs="SimSun-PUA"/>
          <w:sz w:val="44"/>
        </w:rPr>
      </w:pPr>
      <w:r>
        <w:rPr>
          <w:rFonts w:ascii="SimSun-PUA" w:eastAsia="SimSun-PUA" w:hAnsi="SimSun-PUA" w:cs="SimSun-PUA"/>
          <w:sz w:val="44"/>
        </w:rPr>
        <w:t>山东理工大学关于山东省高水平应用型</w:t>
      </w:r>
    </w:p>
    <w:p w:rsidR="00BA2A91" w:rsidRDefault="00A35F19" w:rsidP="00F719DC">
      <w:pPr>
        <w:spacing w:after="12" w:line="275" w:lineRule="auto"/>
        <w:ind w:left="1836" w:hanging="1335"/>
        <w:jc w:val="center"/>
      </w:pPr>
      <w:r>
        <w:rPr>
          <w:rFonts w:ascii="SimSun-PUA" w:eastAsia="SimSun-PUA" w:hAnsi="SimSun-PUA" w:cs="SimSun-PUA"/>
          <w:sz w:val="44"/>
        </w:rPr>
        <w:t>立项建设专业的管理办法</w:t>
      </w:r>
      <w:bookmarkStart w:id="0" w:name="_GoBack"/>
      <w:bookmarkEnd w:id="0"/>
    </w:p>
    <w:p w:rsidR="00BA2A91" w:rsidRDefault="00A35F19">
      <w:pPr>
        <w:spacing w:after="191" w:line="259" w:lineRule="auto"/>
        <w:ind w:left="758" w:firstLine="0"/>
      </w:pPr>
      <w:r>
        <w:rPr>
          <w:rFonts w:ascii="Times New Roman" w:eastAsia="Times New Roman" w:hAnsi="Times New Roman" w:cs="Times New Roman"/>
        </w:rPr>
        <w:t xml:space="preserve">  </w:t>
      </w:r>
    </w:p>
    <w:p w:rsidR="00BA2A91" w:rsidRDefault="00A35F19">
      <w:pPr>
        <w:ind w:left="103"/>
      </w:pPr>
      <w:r>
        <w:t>为加强山东省高水平应用型立项建设专业（以下简称立项专业）的管理和监督，保证立项专业的建设质量和进度，完成高水平应用型建设专业的既定目标，根据山东省教育厅财政厅关于印发《推进高水平应用型大学建设实施方案》的通知（</w:t>
      </w:r>
      <w:proofErr w:type="gramStart"/>
      <w:r>
        <w:t>鲁教高字</w:t>
      </w:r>
      <w:proofErr w:type="gramEnd"/>
      <w:r>
        <w:t>[2016]8 号）和《山东省高水平应用型立项建设专业（群）绩效考评办法》的通知（</w:t>
      </w:r>
      <w:proofErr w:type="gramStart"/>
      <w:r>
        <w:t>鲁教高字</w:t>
      </w:r>
      <w:proofErr w:type="gramEnd"/>
      <w:r>
        <w:t xml:space="preserve">[2017]9 号）及《山东理工大学本科教育教学综合改革方案》（鲁理工大政发[2017]149 号）等文件精神，为提高我校高水平应用型立项专业（群）建设质量和资金使用效益，结合我校实际，特制定本办法。 </w:t>
      </w:r>
    </w:p>
    <w:p w:rsidR="00BA2A91" w:rsidRDefault="00A35F19">
      <w:pPr>
        <w:pStyle w:val="1"/>
        <w:spacing w:after="423"/>
        <w:ind w:left="10" w:right="83"/>
      </w:pPr>
      <w:r>
        <w:t xml:space="preserve">第一章  总  则 </w:t>
      </w:r>
    </w:p>
    <w:p w:rsidR="00BA2A91" w:rsidRDefault="00A35F19">
      <w:pPr>
        <w:ind w:left="0"/>
      </w:pPr>
      <w:r>
        <w:t>第一条 高水平应用型立项建设专业的总体建设目标是：以立德树人为根本，以培养高素质应用型人才为目标，以专业建设为着力点，突出强化学校特色，促进人才培养与产业优化升级、经济转型发展紧密对接，推动一批特色专业向高水平发展。到2020年，建成3～5个高水平应用型重点专业，进入全国同类专业前10%；培育建设5～8个专业逐步达到高水平应用型重点专业建设标准；适应现代农业、先进制</w:t>
      </w:r>
      <w:r>
        <w:lastRenderedPageBreak/>
        <w:t xml:space="preserve">造业、战略性新兴产业、现代服务业等经济社会发展需求，形成一批特色鲜明、优势突出的专业群，为我省经济社会发展提供更加有力的人才和技术支撑。 </w:t>
      </w:r>
    </w:p>
    <w:p w:rsidR="00BA2A91" w:rsidRDefault="00A35F19">
      <w:pPr>
        <w:spacing w:after="142" w:line="259" w:lineRule="auto"/>
        <w:ind w:left="761" w:firstLine="0"/>
      </w:pPr>
      <w:r>
        <w:t xml:space="preserve">第二条 立项专业建设内容 </w:t>
      </w:r>
    </w:p>
    <w:p w:rsidR="00BA2A91" w:rsidRDefault="00A35F19">
      <w:pPr>
        <w:numPr>
          <w:ilvl w:val="0"/>
          <w:numId w:val="1"/>
        </w:numPr>
        <w:spacing w:after="141" w:line="259" w:lineRule="auto"/>
      </w:pPr>
      <w:r>
        <w:t>培养大批高素质应用型人才。完善协同育人机制，</w:t>
      </w:r>
    </w:p>
    <w:p w:rsidR="00BA2A91" w:rsidRDefault="00A35F19">
      <w:pPr>
        <w:ind w:left="103" w:firstLine="0"/>
      </w:pPr>
      <w:r>
        <w:t xml:space="preserve">积极推进校企、校地、校所深度合作，建立产教融合、协同育人的人才培养模式，共建课程、实践实训基地，实现专业链与产业链、课程内容与职业标准、教学与生产过程对接，合作效果好。提高实践课比重，理工类本科专业实践教学学分比例占总学分比例不低于 30%，人文社会科学类专业不低于 25%。加强教学团队建设，加大课程教学改革力度，着力开发专业特色课程和在线开放课程，满足学生多样化学习需求。加强创新创业教育，注重创新创业教育师资队伍建设，开发创新创业课程，承担各级大学生创新创业训练项目，在省级及以上创新创业大赛中成绩优秀，提高学生就业能力和就业质量，毕业生就业率达到95%以上。 </w:t>
      </w:r>
    </w:p>
    <w:p w:rsidR="00BA2A91" w:rsidRDefault="00A35F19">
      <w:pPr>
        <w:numPr>
          <w:ilvl w:val="0"/>
          <w:numId w:val="1"/>
        </w:numPr>
        <w:spacing w:after="136"/>
      </w:pPr>
      <w:r>
        <w:t>产出一批高水平应用技术成果。以</w:t>
      </w:r>
      <w:proofErr w:type="gramStart"/>
      <w:r>
        <w:t>校城融合</w:t>
      </w:r>
      <w:proofErr w:type="gramEnd"/>
      <w:r>
        <w:t>为契机，积极融入以企业为主体的区域、行业技术创新体系，以解决战略性新兴产业关键技术、社会发展重大（难点）问题为导向，广泛开展应用技术研究和科技服务。支持并鼓励教师和企业联合开发新产品、新技术，产出一批高水平原创性应用技术成果，推动一批关键生产技术突破。及时将科技</w:t>
      </w:r>
      <w:r>
        <w:lastRenderedPageBreak/>
        <w:t xml:space="preserve">研发成果转化为经济社会效益和课程教学资源。立项建设的专业（群）须与行业企业联合，并至少获一项省部级及以上科研奖励等标志性成果。 </w:t>
      </w:r>
    </w:p>
    <w:p w:rsidR="00BA2A91" w:rsidRDefault="00A35F19">
      <w:pPr>
        <w:numPr>
          <w:ilvl w:val="0"/>
          <w:numId w:val="1"/>
        </w:numPr>
      </w:pPr>
      <w:r>
        <w:t xml:space="preserve">建成一批高水平应用型人才培养平台。“十三五”期间，建成 1～2 </w:t>
      </w:r>
      <w:proofErr w:type="gramStart"/>
      <w:r>
        <w:t>个</w:t>
      </w:r>
      <w:proofErr w:type="gramEnd"/>
      <w:r>
        <w:t>省级及以上应用型人才培养平台。推进学校与行业企业合作发展，以强化实践教学环节和提升应用技术</w:t>
      </w:r>
      <w:proofErr w:type="gramStart"/>
      <w:r>
        <w:t>研创能力</w:t>
      </w:r>
      <w:proofErr w:type="gramEnd"/>
      <w:r>
        <w:t xml:space="preserve">为重点，建设一批开放式综合实验教学中心和创新创业教育示范中心、大学生实践教学基地、重点实验室、工程（技术）研究中心等人才培养平台，为应用型人才培养提供有力支撑。 </w:t>
      </w:r>
    </w:p>
    <w:p w:rsidR="00BA2A91" w:rsidRDefault="00A35F19">
      <w:pPr>
        <w:numPr>
          <w:ilvl w:val="0"/>
          <w:numId w:val="1"/>
        </w:numPr>
      </w:pPr>
      <w:r>
        <w:t xml:space="preserve">建设具有高水平实践教学能力的师资队伍。建设期内，每个建设专业（群）拥有职业资格证书或2年以上行业企业工作经历或主持2项以上应用型研究项目的教师（简称“双师型”教师）比例达到 40%以上，聘用企业或行业专家担任兼职教师的比例达到 25%以上。调整教师结构，积极引进行业公认的专才，聘请企业优秀专业技术人才、管理人才和高技能人才作为专业建设带头人、担任专兼职教师；有计划地选送教师到企业接受培训、挂职工作和实践锻炼；提升专业教师整体实践教学水平和应用技术研发能力。 </w:t>
      </w:r>
    </w:p>
    <w:p w:rsidR="00BA2A91" w:rsidRDefault="00A35F19">
      <w:pPr>
        <w:ind w:left="103"/>
      </w:pPr>
      <w:r>
        <w:t>第三条 我校高水平应用型立项专业（群）的建设实行项目负责制，项目建设按照“统一领导、目标管理、过程监控、绩效考核”的原则实施。明确各级项目的责任目标以及各级项</w:t>
      </w:r>
      <w:r>
        <w:lastRenderedPageBreak/>
        <w:t xml:space="preserve">目的责任人。实现责、权、利统一，调动各项目负责人的积极性和创造性，确保各项目建设效果。学校对项目的执行过程进行监控和考核，保证项目的执行合法、规范，保证实施效果，组织专家组对建设项目进行审核、考评和验收。第二章  立项专业（群）建设 </w:t>
      </w:r>
    </w:p>
    <w:p w:rsidR="00BA2A91" w:rsidRDefault="00A35F19">
      <w:pPr>
        <w:ind w:left="103"/>
      </w:pPr>
      <w:r>
        <w:t xml:space="preserve">第四条 学校立项专业（群）的建设以立项专业申报书、目标任务书等为依据。 </w:t>
      </w:r>
    </w:p>
    <w:p w:rsidR="00BA2A91" w:rsidRDefault="00A35F19">
      <w:pPr>
        <w:ind w:left="103"/>
      </w:pPr>
      <w:r>
        <w:t xml:space="preserve">第五条 学校立项专业（群）建设的流程为：专业（群）建设的任务分解、项目实施、项目验收、项目考评。 </w:t>
      </w:r>
    </w:p>
    <w:p w:rsidR="00BA2A91" w:rsidRDefault="00A35F19">
      <w:pPr>
        <w:ind w:left="103"/>
      </w:pPr>
      <w:r>
        <w:t xml:space="preserve">1.任务分解：依据专业建设目标任务书，按年度将专业建设任务细化分解到项目和具体任务，责任到人。 </w:t>
      </w:r>
    </w:p>
    <w:p w:rsidR="00BA2A91" w:rsidRDefault="00A35F19">
      <w:pPr>
        <w:ind w:left="103"/>
      </w:pPr>
      <w:r>
        <w:t xml:space="preserve">2.项目实施：各立项专业（群）建设单位按目标任务书规定的建设目标和建设内容，细化年度项目计划，合理安排项目建设的进度和重点工作，并组织实施。 </w:t>
      </w:r>
    </w:p>
    <w:p w:rsidR="00BA2A91" w:rsidRDefault="00A35F19">
      <w:pPr>
        <w:ind w:left="103"/>
      </w:pPr>
      <w:r>
        <w:t xml:space="preserve">各项目负责人负责项目的具体实施，必须保证项目建设进度和实现预期的效益目标，并按目标任务书进行检查、考评、验收。 </w:t>
      </w:r>
    </w:p>
    <w:p w:rsidR="00BA2A91" w:rsidRDefault="00A35F19">
      <w:pPr>
        <w:spacing w:after="141" w:line="259" w:lineRule="auto"/>
        <w:ind w:left="10" w:right="27" w:hanging="10"/>
        <w:jc w:val="right"/>
      </w:pPr>
      <w:r>
        <w:t>3.项目验收：各专业（群）所在学院负责对本专业（群）</w:t>
      </w:r>
    </w:p>
    <w:p w:rsidR="00BA2A91" w:rsidRDefault="00A35F19">
      <w:pPr>
        <w:ind w:left="103" w:firstLine="0"/>
      </w:pPr>
      <w:r>
        <w:t xml:space="preserve">建设的各个项目建设内容落实及验收；学校教学专委会负责对立项建设专业（群）阶段建设和整体建设考评验收。 </w:t>
      </w:r>
    </w:p>
    <w:p w:rsidR="00BA2A91" w:rsidRDefault="00A35F19">
      <w:pPr>
        <w:ind w:left="103"/>
      </w:pPr>
      <w:r>
        <w:lastRenderedPageBreak/>
        <w:t xml:space="preserve">4.项目考评：校教学专委会对立项专业（群）建设绩效进行考评，并做好接受上级部门对各个立项专业（群）建设绩效考评的准备工作。 </w:t>
      </w:r>
    </w:p>
    <w:p w:rsidR="00BA2A91" w:rsidRDefault="00A35F19">
      <w:pPr>
        <w:ind w:left="103"/>
      </w:pPr>
      <w:r>
        <w:t xml:space="preserve">第六条 立项专业（群）建设实行年度检查、3年中期检查评估和5年期满考核验收制度，适时处理专业建设过程中出现的问题。（一）年度检查。每年11月30日前，由学院进行自查，学校检查。主要内容是： </w:t>
      </w:r>
    </w:p>
    <w:p w:rsidR="00BA2A91" w:rsidRDefault="00A35F19">
      <w:pPr>
        <w:spacing w:after="142" w:line="259" w:lineRule="auto"/>
        <w:ind w:left="758" w:firstLine="0"/>
      </w:pPr>
      <w:r>
        <w:t xml:space="preserve">1.本年度有关项目建设和资金执行情况。 </w:t>
      </w:r>
    </w:p>
    <w:p w:rsidR="00BA2A91" w:rsidRDefault="00A35F19">
      <w:pPr>
        <w:spacing w:after="139" w:line="259" w:lineRule="auto"/>
        <w:ind w:left="758" w:firstLine="0"/>
      </w:pPr>
      <w:r>
        <w:t xml:space="preserve">2.有关项目建设进度、建设效益和阶段性建设成果。 </w:t>
      </w:r>
    </w:p>
    <w:p w:rsidR="00BA2A91" w:rsidRDefault="00A35F19">
      <w:pPr>
        <w:spacing w:after="142" w:line="259" w:lineRule="auto"/>
        <w:ind w:left="758" w:firstLine="0"/>
      </w:pPr>
      <w:r>
        <w:t xml:space="preserve">3.各项目建设过程中档案形成、整理情况。 </w:t>
      </w:r>
    </w:p>
    <w:p w:rsidR="00BA2A91" w:rsidRDefault="00A35F19">
      <w:pPr>
        <w:spacing w:after="142" w:line="259" w:lineRule="auto"/>
        <w:ind w:left="758" w:firstLine="0"/>
      </w:pPr>
      <w:r>
        <w:t xml:space="preserve">4.建设中存在的问题及改进措施。 </w:t>
      </w:r>
    </w:p>
    <w:p w:rsidR="00BA2A91" w:rsidRDefault="00A35F19">
      <w:pPr>
        <w:ind w:left="103"/>
      </w:pPr>
      <w:r>
        <w:t xml:space="preserve">（二）3 年中期检查评估。由教学专委会组织专家组对各专业（群）进行中期检查及评估，并接受上级主管部门的中期评估。主要内容是： </w:t>
      </w:r>
    </w:p>
    <w:p w:rsidR="00BA2A91" w:rsidRDefault="00A35F19">
      <w:pPr>
        <w:ind w:left="103"/>
      </w:pPr>
      <w:r>
        <w:t xml:space="preserve">1.总结近3年来专业建设和资金的执行情况，总结建设效果。 </w:t>
      </w:r>
    </w:p>
    <w:p w:rsidR="00BA2A91" w:rsidRDefault="00A35F19">
      <w:pPr>
        <w:spacing w:after="142" w:line="259" w:lineRule="auto"/>
        <w:ind w:left="758" w:firstLine="0"/>
      </w:pPr>
      <w:r>
        <w:t xml:space="preserve">2.对下一阶段专业建设和资金使用提出指导性意见。 </w:t>
      </w:r>
    </w:p>
    <w:p w:rsidR="00BA2A91" w:rsidRDefault="00A35F19">
      <w:pPr>
        <w:spacing w:after="142" w:line="259" w:lineRule="auto"/>
        <w:ind w:left="758" w:firstLine="0"/>
      </w:pPr>
      <w:r>
        <w:t xml:space="preserve">3.专业建设过程中档案形成、整理情况。 </w:t>
      </w:r>
    </w:p>
    <w:p w:rsidR="00BA2A91" w:rsidRDefault="00A35F19">
      <w:pPr>
        <w:spacing w:after="142" w:line="259" w:lineRule="auto"/>
        <w:ind w:left="758" w:firstLine="0"/>
      </w:pPr>
      <w:r>
        <w:t xml:space="preserve">4.建设中存在的问题及改进措施。 </w:t>
      </w:r>
    </w:p>
    <w:p w:rsidR="00BA2A91" w:rsidRDefault="00A35F19">
      <w:pPr>
        <w:spacing w:after="142" w:line="259" w:lineRule="auto"/>
        <w:ind w:left="758" w:firstLine="0"/>
      </w:pPr>
      <w:r>
        <w:t xml:space="preserve">（三）专业建设期满考核验收。 </w:t>
      </w:r>
    </w:p>
    <w:p w:rsidR="00BA2A91" w:rsidRDefault="00A35F19">
      <w:pPr>
        <w:ind w:left="103"/>
      </w:pPr>
      <w:r>
        <w:t xml:space="preserve">1.专业（群）建设完成后，各专业（群）建设单位要提交专业（群）建设绩效自评报告。 </w:t>
      </w:r>
    </w:p>
    <w:p w:rsidR="00BA2A91" w:rsidRDefault="00A35F19">
      <w:pPr>
        <w:ind w:left="103"/>
      </w:pPr>
      <w:r>
        <w:lastRenderedPageBreak/>
        <w:t xml:space="preserve">2.学校教学专委会组织专家组，依据目标任务书，对项目的目标实现情况、建设任务和资金的完成情况、建设效益等，进行考评和验收，对专业建设的管理情况进行总结。 </w:t>
      </w:r>
    </w:p>
    <w:p w:rsidR="00BA2A91" w:rsidRDefault="00A35F19">
      <w:pPr>
        <w:spacing w:after="142" w:line="259" w:lineRule="auto"/>
        <w:ind w:left="758" w:firstLine="0"/>
      </w:pPr>
      <w:r>
        <w:t xml:space="preserve">3.学校将情况汇总后，接受上级主管部门的期满考核。 </w:t>
      </w:r>
    </w:p>
    <w:p w:rsidR="00BA2A91" w:rsidRDefault="00A35F19">
      <w:pPr>
        <w:spacing w:after="135"/>
        <w:ind w:left="103"/>
      </w:pPr>
      <w:r>
        <w:t xml:space="preserve">第七条 专业建设过程中，接受上级有关部门的监督。监督内容有：专业建设的建设目标、建设内容、建设进展、经费使用、投资效益等方面。 </w:t>
      </w:r>
    </w:p>
    <w:p w:rsidR="00BA2A91" w:rsidRDefault="00A35F19">
      <w:pPr>
        <w:pStyle w:val="1"/>
        <w:ind w:left="10" w:right="86"/>
      </w:pPr>
      <w:r>
        <w:t xml:space="preserve">第三章  考核与奖惩 </w:t>
      </w:r>
    </w:p>
    <w:p w:rsidR="00BA2A91" w:rsidRDefault="00A35F19">
      <w:pPr>
        <w:spacing w:after="2" w:line="340" w:lineRule="auto"/>
        <w:ind w:left="118" w:right="146"/>
        <w:jc w:val="both"/>
      </w:pPr>
      <w:r>
        <w:t xml:space="preserve">第八条 学校教学专委会对各立项专业建设的年度检查情况，按照绩效考核标准，对各建设专业（群）进行年度绩效考核。 </w:t>
      </w:r>
    </w:p>
    <w:p w:rsidR="00BA2A91" w:rsidRDefault="00A35F19">
      <w:pPr>
        <w:ind w:left="103"/>
      </w:pPr>
      <w:r>
        <w:t xml:space="preserve">第九条 对年度绩效考核成绩突出和效益显著的立项建设专业（群），划拨下一年度建设经费时上浮5%～10%。 </w:t>
      </w:r>
    </w:p>
    <w:p w:rsidR="00BA2A91" w:rsidRDefault="00A35F19">
      <w:pPr>
        <w:ind w:left="103"/>
      </w:pPr>
      <w:r>
        <w:t xml:space="preserve">第十条 对于考核成绩较差，项目的建设进度慢，影响项目绩效考评的专业（群），划拨下一年度的建设经费时减少5%～10%。 </w:t>
      </w:r>
    </w:p>
    <w:p w:rsidR="00BA2A91" w:rsidRDefault="00A35F19">
      <w:pPr>
        <w:pStyle w:val="1"/>
        <w:ind w:left="10" w:right="83"/>
      </w:pPr>
      <w:r>
        <w:t xml:space="preserve">第四章  附  则 </w:t>
      </w:r>
    </w:p>
    <w:p w:rsidR="004543AE" w:rsidRDefault="00A35F19">
      <w:pPr>
        <w:spacing w:after="69"/>
        <w:ind w:left="761" w:right="1136" w:firstLine="0"/>
        <w:rPr>
          <w:rFonts w:eastAsiaTheme="minorEastAsia"/>
        </w:rPr>
      </w:pPr>
      <w:r>
        <w:t>第十一条 本办法由教务处负责解释。</w:t>
      </w:r>
    </w:p>
    <w:p w:rsidR="00BA2A91" w:rsidRDefault="00A35F19">
      <w:pPr>
        <w:spacing w:after="69"/>
        <w:ind w:left="761" w:right="1136" w:firstLine="0"/>
      </w:pPr>
      <w:r>
        <w:t xml:space="preserve">第十二条 本办法自发布之日起施行。 </w:t>
      </w:r>
    </w:p>
    <w:p w:rsidR="00BA2A91" w:rsidRDefault="00A35F19">
      <w:pPr>
        <w:spacing w:after="0" w:line="259" w:lineRule="auto"/>
        <w:ind w:left="118" w:firstLine="0"/>
      </w:pPr>
      <w:r>
        <w:t xml:space="preserve">  </w:t>
      </w:r>
    </w:p>
    <w:p w:rsidR="00BA2A91" w:rsidRDefault="00A35F19">
      <w:pPr>
        <w:spacing w:after="34" w:line="259" w:lineRule="auto"/>
        <w:ind w:left="118" w:firstLine="0"/>
      </w:pPr>
      <w:r>
        <w:rPr>
          <w:rFonts w:ascii="Calibri" w:eastAsia="Calibri" w:hAnsi="Calibri" w:cs="Calibri"/>
          <w:sz w:val="21"/>
        </w:rPr>
        <w:t xml:space="preserve">  </w:t>
      </w:r>
    </w:p>
    <w:p w:rsidR="00BA2A91" w:rsidRDefault="00A35F19">
      <w:pPr>
        <w:spacing w:after="34" w:line="259" w:lineRule="auto"/>
        <w:ind w:left="118" w:firstLine="0"/>
      </w:pPr>
      <w:r>
        <w:rPr>
          <w:rFonts w:ascii="Calibri" w:eastAsia="Calibri" w:hAnsi="Calibri" w:cs="Calibri"/>
          <w:sz w:val="21"/>
        </w:rPr>
        <w:t xml:space="preserve">  </w:t>
      </w:r>
    </w:p>
    <w:p w:rsidR="004543AE" w:rsidRPr="004543AE" w:rsidRDefault="00A35F19" w:rsidP="004543AE">
      <w:pPr>
        <w:spacing w:after="34" w:line="259" w:lineRule="auto"/>
        <w:ind w:left="118" w:firstLine="0"/>
        <w:rPr>
          <w:rFonts w:eastAsiaTheme="minorEastAsia" w:hint="eastAsia"/>
        </w:rPr>
      </w:pPr>
      <w:r>
        <w:rPr>
          <w:rFonts w:ascii="Calibri" w:eastAsia="Calibri" w:hAnsi="Calibri" w:cs="Calibri"/>
          <w:sz w:val="21"/>
        </w:rPr>
        <w:t xml:space="preserve">  </w:t>
      </w:r>
    </w:p>
    <w:p w:rsidR="00BA2A91" w:rsidRDefault="00A35F19">
      <w:pPr>
        <w:spacing w:after="12" w:line="275" w:lineRule="auto"/>
        <w:ind w:left="943" w:hanging="442"/>
      </w:pPr>
      <w:r>
        <w:rPr>
          <w:rFonts w:ascii="宋体" w:eastAsia="宋体" w:hAnsi="宋体" w:cs="宋体" w:hint="eastAsia"/>
          <w:sz w:val="44"/>
        </w:rPr>
        <w:lastRenderedPageBreak/>
        <w:t>山</w:t>
      </w:r>
      <w:r>
        <w:rPr>
          <w:rFonts w:ascii="SimSun-PUA" w:eastAsia="SimSun-PUA" w:hAnsi="SimSun-PUA" w:cs="SimSun-PUA"/>
          <w:sz w:val="44"/>
        </w:rPr>
        <w:t xml:space="preserve">东理工大学关于山东省高水平应用型立项建设专业的专项资金管理办法 </w:t>
      </w:r>
    </w:p>
    <w:p w:rsidR="00BA2A91" w:rsidRDefault="00A35F19">
      <w:pPr>
        <w:spacing w:after="189" w:line="259" w:lineRule="auto"/>
        <w:ind w:left="155" w:firstLine="0"/>
        <w:jc w:val="center"/>
      </w:pPr>
      <w:r>
        <w:rPr>
          <w:rFonts w:ascii="Times New Roman" w:eastAsia="Times New Roman" w:hAnsi="Times New Roman" w:cs="Times New Roman"/>
          <w:b/>
        </w:rPr>
        <w:t xml:space="preserve">  </w:t>
      </w:r>
    </w:p>
    <w:p w:rsidR="00BA2A91" w:rsidRDefault="00A35F19">
      <w:pPr>
        <w:pStyle w:val="1"/>
        <w:ind w:left="10" w:right="83"/>
      </w:pPr>
      <w:r>
        <w:t xml:space="preserve">第一章  总  则 </w:t>
      </w:r>
    </w:p>
    <w:p w:rsidR="00BA2A91" w:rsidRDefault="00A35F19">
      <w:pPr>
        <w:ind w:left="103"/>
      </w:pPr>
      <w:r>
        <w:t>第一条 为加强山东省高水平应用型立项建设专业专项资金（以下简称：应用型专业建设资金）管理，提高资金使用效益，根据山东省财政厅教育厅关于印发《山东省高水平应用型大学建设奖补资金管理办法》的通知（</w:t>
      </w:r>
      <w:proofErr w:type="gramStart"/>
      <w:r>
        <w:t>鲁财教</w:t>
      </w:r>
      <w:proofErr w:type="gramEnd"/>
      <w:r>
        <w:t>〔2016〕</w:t>
      </w:r>
    </w:p>
    <w:p w:rsidR="00BA2A91" w:rsidRDefault="00A35F19">
      <w:pPr>
        <w:spacing w:after="139" w:line="259" w:lineRule="auto"/>
        <w:ind w:left="103" w:firstLine="0"/>
      </w:pPr>
      <w:r>
        <w:t xml:space="preserve">74号），制定本办法。 </w:t>
      </w:r>
    </w:p>
    <w:p w:rsidR="00BA2A91" w:rsidRDefault="00A35F19">
      <w:pPr>
        <w:ind w:left="103"/>
      </w:pPr>
      <w:r>
        <w:t xml:space="preserve">第二条 应用型专业建设资金专项用于山东理工大学高水平应用型建设专业的专业建设。 </w:t>
      </w:r>
    </w:p>
    <w:p w:rsidR="00BA2A91" w:rsidRDefault="00A35F19">
      <w:pPr>
        <w:ind w:left="103"/>
      </w:pPr>
      <w:r>
        <w:t xml:space="preserve">第三条 应用型专业建设施行总体规划、分年实施，以山东省立项建设的专业（群）建设为着力点，促进各专业的内涵及特色发展。 </w:t>
      </w:r>
    </w:p>
    <w:p w:rsidR="00BA2A91" w:rsidRDefault="00A35F19">
      <w:pPr>
        <w:pStyle w:val="1"/>
        <w:ind w:left="10" w:right="86"/>
      </w:pPr>
      <w:r>
        <w:t xml:space="preserve">第二章  资金使用 </w:t>
      </w:r>
    </w:p>
    <w:p w:rsidR="00BA2A91" w:rsidRDefault="00A35F19">
      <w:pPr>
        <w:ind w:left="103"/>
      </w:pPr>
      <w:r>
        <w:t xml:space="preserve">第四条 应用型专业建设资金全部用于本专业（群）的建设，支出范围： </w:t>
      </w:r>
    </w:p>
    <w:p w:rsidR="00BA2A91" w:rsidRDefault="00A35F19">
      <w:pPr>
        <w:numPr>
          <w:ilvl w:val="0"/>
          <w:numId w:val="2"/>
        </w:numPr>
      </w:pPr>
      <w:r>
        <w:t xml:space="preserve">专业建设费。包括专业人才培养方案修订、课程与课程群建设（含在线开放课程建设）、共享专业教学资源库建设等方面的支出。 </w:t>
      </w:r>
    </w:p>
    <w:p w:rsidR="00BA2A91" w:rsidRDefault="00A35F19">
      <w:pPr>
        <w:numPr>
          <w:ilvl w:val="0"/>
          <w:numId w:val="2"/>
        </w:numPr>
        <w:spacing w:after="0" w:line="341" w:lineRule="auto"/>
      </w:pPr>
      <w:r>
        <w:lastRenderedPageBreak/>
        <w:t xml:space="preserve">师资建设费。包括教师教学能力提升、教学团队建设、聘用实践教学兼职教师、选送教师接受实践教学培训锻炼、专业教师进修访学培训等方面的支出。 </w:t>
      </w:r>
    </w:p>
    <w:p w:rsidR="00BA2A91" w:rsidRDefault="00A35F19">
      <w:pPr>
        <w:numPr>
          <w:ilvl w:val="0"/>
          <w:numId w:val="2"/>
        </w:numPr>
      </w:pPr>
      <w:r>
        <w:t xml:space="preserve">人才培养费。包括提升学生创新创业能力，支持学生实践实训活动，大学生科技竞赛等方面的支出。 </w:t>
      </w:r>
    </w:p>
    <w:p w:rsidR="00BA2A91" w:rsidRDefault="00A35F19">
      <w:pPr>
        <w:numPr>
          <w:ilvl w:val="0"/>
          <w:numId w:val="2"/>
        </w:numPr>
      </w:pPr>
      <w:r>
        <w:t xml:space="preserve">基础条件建设费。包括教学条件装备、实验材料购置和实践实训基地、实验教学中心、虚拟仿真教学中心等平台建设，及教研科研实验室建设与改造费用等方面的支出。 </w:t>
      </w:r>
    </w:p>
    <w:p w:rsidR="00BA2A91" w:rsidRDefault="00A35F19">
      <w:pPr>
        <w:numPr>
          <w:ilvl w:val="0"/>
          <w:numId w:val="2"/>
        </w:numPr>
      </w:pPr>
      <w:r>
        <w:t xml:space="preserve">教研科研活动费。包括为开展教学研究和提升专业建设水平而开展的科研工作、教研科研课题论证、协作研究、成果出版发表以及推广应用等方面的支出。 </w:t>
      </w:r>
    </w:p>
    <w:p w:rsidR="00BA2A91" w:rsidRDefault="00A35F19">
      <w:pPr>
        <w:numPr>
          <w:ilvl w:val="0"/>
          <w:numId w:val="2"/>
        </w:numPr>
      </w:pPr>
      <w:r>
        <w:t xml:space="preserve">合作交流费。包括应用型专业成员参加国际国内学术会议、专题研讨会以及开展合作研究、邀请国际国内相关专家对专业建设进行咨询、指导等方面的支出。 </w:t>
      </w:r>
    </w:p>
    <w:p w:rsidR="00BA2A91" w:rsidRDefault="00A35F19">
      <w:pPr>
        <w:numPr>
          <w:ilvl w:val="0"/>
          <w:numId w:val="2"/>
        </w:numPr>
      </w:pPr>
      <w:r>
        <w:t xml:space="preserve">日常费用。包括开展上述工作发生的会议费、差旅费等。 </w:t>
      </w:r>
    </w:p>
    <w:p w:rsidR="00BA2A91" w:rsidRDefault="00A35F19">
      <w:pPr>
        <w:pStyle w:val="1"/>
        <w:ind w:left="10" w:right="86"/>
      </w:pPr>
      <w:r>
        <w:t xml:space="preserve">第三章  资金监督管理 </w:t>
      </w:r>
    </w:p>
    <w:p w:rsidR="00BA2A91" w:rsidRDefault="00A35F19">
      <w:pPr>
        <w:spacing w:after="141" w:line="259" w:lineRule="auto"/>
        <w:ind w:left="10" w:right="206" w:hanging="10"/>
        <w:jc w:val="right"/>
      </w:pPr>
      <w:r>
        <w:t>第五条 应用型专业建设资金必须严格按照财政国库管</w:t>
      </w:r>
    </w:p>
    <w:p w:rsidR="00BA2A91" w:rsidRDefault="00A35F19">
      <w:pPr>
        <w:ind w:left="103" w:firstLine="0"/>
      </w:pPr>
      <w:r>
        <w:t xml:space="preserve">理制度有关规定拨付，实行单独核算，专款专用。不得挤占、挪用资金，不得擅自改变资金用途。 </w:t>
      </w:r>
    </w:p>
    <w:p w:rsidR="00BA2A91" w:rsidRDefault="00A35F19" w:rsidP="004543AE">
      <w:pPr>
        <w:ind w:left="103"/>
        <w:rPr>
          <w:rFonts w:eastAsiaTheme="minorEastAsia"/>
        </w:rPr>
      </w:pPr>
      <w:r>
        <w:lastRenderedPageBreak/>
        <w:t>第六条 应用型专业建设资金原则上应于当年形成支出，如有结余结转，要严格按照省财政厅有关财政拨款结余结转资金管理规定执行。</w:t>
      </w:r>
    </w:p>
    <w:p w:rsidR="004543AE" w:rsidRDefault="004543AE" w:rsidP="004543AE">
      <w:pPr>
        <w:ind w:left="0" w:firstLine="0"/>
      </w:pPr>
      <w:r>
        <w:rPr>
          <w:rFonts w:eastAsiaTheme="minorEastAsia" w:hint="eastAsia"/>
        </w:rPr>
        <w:t xml:space="preserve">        </w:t>
      </w:r>
      <w:r>
        <w:t xml:space="preserve">第七条 对应纳入政府采购范围的货物、工程和服务，应当按照《中华人民共和国政府采购法》等有关法律制度规定，严格执行政府采购程序。 </w:t>
      </w:r>
    </w:p>
    <w:p w:rsidR="004543AE" w:rsidRDefault="004543AE" w:rsidP="004543AE">
      <w:pPr>
        <w:spacing w:after="2" w:line="340" w:lineRule="auto"/>
        <w:ind w:left="-15" w:right="146"/>
        <w:jc w:val="both"/>
      </w:pPr>
      <w:r>
        <w:t xml:space="preserve">第八条 凡使用应用型专业建设资金形成的资产，均属国有资产，应及时纳入学校资产统一管理，认真维护，共享使用。 </w:t>
      </w:r>
    </w:p>
    <w:p w:rsidR="004543AE" w:rsidRDefault="004543AE" w:rsidP="004543AE">
      <w:pPr>
        <w:ind w:left="0"/>
      </w:pPr>
      <w:r>
        <w:t xml:space="preserve">第九条 应用型专业建设资金由学校财务部门统一管理，单独核算。明确项目负责人与教学管理、财务等部门的职责与权限，建立健全内部控制机制，确保经费规范、合理、有效使用。 </w:t>
      </w:r>
    </w:p>
    <w:p w:rsidR="004543AE" w:rsidRDefault="004543AE" w:rsidP="004543AE">
      <w:pPr>
        <w:ind w:left="0"/>
      </w:pPr>
      <w:r>
        <w:t xml:space="preserve">第十条 立项建设专业应制定资金绩效评价办法，认真开展总结和自评，并于每年十一月底前将资金预算执行、资金使用效益、资金管理等情况报教务处。教务处将会同有关部门适时开展资金管理使用绩效评价，对执行效果不佳或未实现预期目标的，责成学院予以整改；整改不力的，视情节轻重减拨、停拨或扣回资金。 </w:t>
      </w:r>
    </w:p>
    <w:p w:rsidR="004543AE" w:rsidRDefault="004543AE" w:rsidP="004543AE">
      <w:pPr>
        <w:ind w:left="0"/>
      </w:pPr>
      <w:r>
        <w:t>第十一条 学校教学专委会依据有关规定对任务</w:t>
      </w:r>
      <w:proofErr w:type="gramStart"/>
      <w:r>
        <w:t>书实施</w:t>
      </w:r>
      <w:proofErr w:type="gramEnd"/>
      <w:r>
        <w:t>情况、经费使用情况进行监督检查和绩效评估。经检查和评估，对未按任务</w:t>
      </w:r>
      <w:proofErr w:type="gramStart"/>
      <w:r>
        <w:t>书实施</w:t>
      </w:r>
      <w:proofErr w:type="gramEnd"/>
      <w:r>
        <w:t>项目、经费管理不规范和支出进度较</w:t>
      </w:r>
      <w:r>
        <w:lastRenderedPageBreak/>
        <w:t>慢的专业（群），视情节轻重，缓拨、核减甚至停拨资金。对弄虚作假、截留、挪用、挤占经费等违反财经纪律的行为，按照有关规定给</w:t>
      </w:r>
      <w:proofErr w:type="gramStart"/>
      <w:r>
        <w:t>予处理</w:t>
      </w:r>
      <w:proofErr w:type="gramEnd"/>
      <w:r>
        <w:t xml:space="preserve">。 </w:t>
      </w:r>
    </w:p>
    <w:p w:rsidR="004543AE" w:rsidRDefault="004543AE" w:rsidP="004543AE">
      <w:pPr>
        <w:pStyle w:val="1"/>
        <w:spacing w:after="207"/>
        <w:ind w:left="10" w:right="156"/>
      </w:pPr>
      <w:r>
        <w:t xml:space="preserve">第四章  附  则 </w:t>
      </w:r>
    </w:p>
    <w:p w:rsidR="004543AE" w:rsidRDefault="004543AE" w:rsidP="004543AE">
      <w:pPr>
        <w:spacing w:after="0" w:line="259" w:lineRule="auto"/>
        <w:ind w:left="701" w:firstLine="0"/>
      </w:pPr>
      <w:r>
        <w:rPr>
          <w:sz w:val="28"/>
        </w:rPr>
        <w:t xml:space="preserve">- </w:t>
      </w:r>
    </w:p>
    <w:p w:rsidR="004543AE" w:rsidRDefault="004543AE" w:rsidP="004543AE">
      <w:pPr>
        <w:ind w:left="643" w:right="1091" w:firstLine="0"/>
        <w:rPr>
          <w:rFonts w:eastAsiaTheme="minorEastAsia"/>
        </w:rPr>
      </w:pPr>
      <w:r>
        <w:t>第十二条 本办法由教务处负责解释。</w:t>
      </w:r>
    </w:p>
    <w:p w:rsidR="004543AE" w:rsidRPr="004543AE" w:rsidRDefault="004543AE" w:rsidP="004543AE">
      <w:pPr>
        <w:ind w:left="643" w:right="1091" w:firstLine="0"/>
        <w:rPr>
          <w:rFonts w:eastAsiaTheme="minorEastAsia" w:hint="eastAsia"/>
        </w:rPr>
        <w:sectPr w:rsidR="004543AE" w:rsidRPr="004543AE">
          <w:footerReference w:type="even" r:id="rId7"/>
          <w:footerReference w:type="default" r:id="rId8"/>
          <w:footerReference w:type="first" r:id="rId9"/>
          <w:pgSz w:w="11906" w:h="16838"/>
          <w:pgMar w:top="1510" w:right="1598" w:bottom="1825" w:left="1683" w:header="720" w:footer="991" w:gutter="0"/>
          <w:cols w:space="720"/>
        </w:sectPr>
      </w:pPr>
      <w:r>
        <w:t>第十三条 本办法自发布之日起施行。</w:t>
      </w:r>
    </w:p>
    <w:p w:rsidR="00BA2A91" w:rsidRPr="004543AE" w:rsidRDefault="00BA2A91" w:rsidP="007B69BD">
      <w:pPr>
        <w:spacing w:after="0" w:line="259" w:lineRule="auto"/>
        <w:ind w:left="0" w:right="2136" w:firstLine="0"/>
        <w:rPr>
          <w:rFonts w:eastAsiaTheme="minorEastAsia" w:hint="eastAsia"/>
        </w:rPr>
      </w:pPr>
    </w:p>
    <w:sectPr w:rsidR="00BA2A91" w:rsidRPr="004543AE">
      <w:footerReference w:type="even" r:id="rId10"/>
      <w:footerReference w:type="default" r:id="rId11"/>
      <w:footerReference w:type="first" r:id="rId12"/>
      <w:pgSz w:w="11906" w:h="16838"/>
      <w:pgMar w:top="1636" w:right="1642" w:bottom="1252" w:left="1800" w:header="720" w:footer="99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C456A" w:rsidRDefault="00BC456A">
      <w:pPr>
        <w:spacing w:after="0" w:line="240" w:lineRule="auto"/>
      </w:pPr>
      <w:r>
        <w:separator/>
      </w:r>
    </w:p>
  </w:endnote>
  <w:endnote w:type="continuationSeparator" w:id="0">
    <w:p w:rsidR="00BC456A" w:rsidRDefault="00BC45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FangSong">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SimSun-PUA">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2A91" w:rsidRDefault="00A35F19">
    <w:pPr>
      <w:spacing w:after="0" w:line="259" w:lineRule="auto"/>
      <w:ind w:left="118" w:firstLine="0"/>
    </w:pPr>
    <w:r>
      <w:rPr>
        <w:sz w:val="28"/>
      </w:rPr>
      <w:t xml:space="preserve">- </w:t>
    </w:r>
    <w:r>
      <w:fldChar w:fldCharType="begin"/>
    </w:r>
    <w:r>
      <w:instrText xml:space="preserve"> PAGE   \* MERGEFORMAT </w:instrText>
    </w:r>
    <w:r>
      <w:fldChar w:fldCharType="separate"/>
    </w:r>
    <w:r w:rsidR="00F719DC" w:rsidRPr="00F719DC">
      <w:rPr>
        <w:noProof/>
        <w:sz w:val="28"/>
      </w:rPr>
      <w:t>10</w:t>
    </w:r>
    <w:r>
      <w:rPr>
        <w:sz w:val="28"/>
      </w:rPr>
      <w:fldChar w:fldCharType="end"/>
    </w:r>
    <w:r>
      <w:rPr>
        <w:sz w:val="28"/>
      </w:rPr>
      <w:t xml:space="preserve"> - </w:t>
    </w:r>
  </w:p>
  <w:p w:rsidR="00BA2A91" w:rsidRDefault="00A35F19">
    <w:pPr>
      <w:spacing w:after="0" w:line="259" w:lineRule="auto"/>
      <w:ind w:left="118" w:firstLine="0"/>
    </w:pPr>
    <w:r>
      <w:rPr>
        <w:rFonts w:ascii="Calibri" w:eastAsia="Calibri" w:hAnsi="Calibri" w:cs="Calibri"/>
        <w:sz w:val="18"/>
      </w:rPr>
      <w:t xml:space="preserve"> </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2A91" w:rsidRDefault="00A35F19">
    <w:pPr>
      <w:spacing w:after="0" w:line="259" w:lineRule="auto"/>
      <w:ind w:left="0" w:right="199" w:firstLine="0"/>
      <w:jc w:val="right"/>
    </w:pPr>
    <w:r>
      <w:rPr>
        <w:sz w:val="28"/>
      </w:rPr>
      <w:t xml:space="preserve">- </w:t>
    </w:r>
    <w:r>
      <w:fldChar w:fldCharType="begin"/>
    </w:r>
    <w:r>
      <w:instrText xml:space="preserve"> PAGE   \* MERGEFORMAT </w:instrText>
    </w:r>
    <w:r>
      <w:fldChar w:fldCharType="separate"/>
    </w:r>
    <w:r w:rsidR="00F719DC" w:rsidRPr="00F719DC">
      <w:rPr>
        <w:noProof/>
        <w:sz w:val="28"/>
      </w:rPr>
      <w:t>11</w:t>
    </w:r>
    <w:r>
      <w:rPr>
        <w:sz w:val="28"/>
      </w:rPr>
      <w:fldChar w:fldCharType="end"/>
    </w:r>
    <w:r>
      <w:rPr>
        <w:sz w:val="28"/>
      </w:rPr>
      <w:t xml:space="preserve"> - </w:t>
    </w:r>
  </w:p>
  <w:p w:rsidR="00BA2A91" w:rsidRDefault="00A35F19">
    <w:pPr>
      <w:spacing w:after="0" w:line="259" w:lineRule="auto"/>
      <w:ind w:left="118" w:firstLine="0"/>
    </w:pPr>
    <w:r>
      <w:rPr>
        <w:rFonts w:ascii="Calibri" w:eastAsia="Calibri" w:hAnsi="Calibri" w:cs="Calibri"/>
        <w:sz w:val="18"/>
      </w:rPr>
      <w:t xml:space="preserve"> </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2A91" w:rsidRDefault="00A35F19">
    <w:pPr>
      <w:spacing w:after="0" w:line="259" w:lineRule="auto"/>
      <w:ind w:left="0" w:right="199" w:firstLine="0"/>
      <w:jc w:val="right"/>
    </w:pPr>
    <w:r>
      <w:rPr>
        <w:sz w:val="28"/>
      </w:rPr>
      <w:t xml:space="preserve">- </w:t>
    </w:r>
    <w:r>
      <w:fldChar w:fldCharType="begin"/>
    </w:r>
    <w:r>
      <w:instrText xml:space="preserve"> PAGE   \* MERGEFORMAT </w:instrText>
    </w:r>
    <w:r>
      <w:fldChar w:fldCharType="separate"/>
    </w:r>
    <w:r>
      <w:rPr>
        <w:sz w:val="28"/>
      </w:rPr>
      <w:t>1</w:t>
    </w:r>
    <w:r>
      <w:rPr>
        <w:sz w:val="28"/>
      </w:rPr>
      <w:fldChar w:fldCharType="end"/>
    </w:r>
    <w:r>
      <w:rPr>
        <w:sz w:val="28"/>
      </w:rPr>
      <w:t xml:space="preserve"> - </w:t>
    </w:r>
  </w:p>
  <w:p w:rsidR="00BA2A91" w:rsidRDefault="00A35F19">
    <w:pPr>
      <w:spacing w:after="0" w:line="259" w:lineRule="auto"/>
      <w:ind w:left="118" w:firstLine="0"/>
    </w:pPr>
    <w:r>
      <w:rPr>
        <w:rFonts w:ascii="Calibri" w:eastAsia="Calibri" w:hAnsi="Calibri" w:cs="Calibri"/>
        <w:sz w:val="18"/>
      </w:rPr>
      <w:t xml:space="preserve"> </w:t>
    </w: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2A91" w:rsidRDefault="00A35F19">
    <w:pPr>
      <w:spacing w:after="0" w:line="259" w:lineRule="auto"/>
      <w:ind w:left="0" w:firstLine="0"/>
    </w:pPr>
    <w:r>
      <w:rPr>
        <w:sz w:val="28"/>
      </w:rPr>
      <w:t xml:space="preserve">- </w:t>
    </w:r>
    <w:r>
      <w:fldChar w:fldCharType="begin"/>
    </w:r>
    <w:r>
      <w:instrText xml:space="preserve"> PAGE   \* MERGEFORMAT </w:instrText>
    </w:r>
    <w:r>
      <w:fldChar w:fldCharType="separate"/>
    </w:r>
    <w:r w:rsidR="00F719DC" w:rsidRPr="00F719DC">
      <w:rPr>
        <w:noProof/>
        <w:sz w:val="28"/>
      </w:rPr>
      <w:t>12</w:t>
    </w:r>
    <w:r>
      <w:rPr>
        <w:sz w:val="28"/>
      </w:rPr>
      <w:fldChar w:fldCharType="end"/>
    </w:r>
    <w:r>
      <w:rPr>
        <w:sz w:val="28"/>
      </w:rPr>
      <w:t xml:space="preserve"> </w:t>
    </w:r>
  </w:p>
  <w:p w:rsidR="00BA2A91" w:rsidRDefault="00A35F19">
    <w:pPr>
      <w:spacing w:after="0" w:line="259" w:lineRule="auto"/>
      <w:ind w:left="0" w:firstLine="0"/>
    </w:pPr>
    <w:r>
      <w:rPr>
        <w:rFonts w:ascii="Calibri" w:eastAsia="Calibri" w:hAnsi="Calibri" w:cs="Calibri"/>
        <w:sz w:val="18"/>
      </w:rPr>
      <w:t xml:space="preserve"> </w:t>
    </w: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2A91" w:rsidRDefault="00A35F19">
    <w:pPr>
      <w:spacing w:after="0" w:line="259" w:lineRule="auto"/>
      <w:ind w:left="0" w:right="155" w:firstLine="0"/>
      <w:jc w:val="right"/>
    </w:pPr>
    <w:r>
      <w:fldChar w:fldCharType="begin"/>
    </w:r>
    <w:r>
      <w:instrText xml:space="preserve"> PAGE   \* MERGEFORMAT </w:instrText>
    </w:r>
    <w:r>
      <w:fldChar w:fldCharType="separate"/>
    </w:r>
    <w:r w:rsidR="004543AE" w:rsidRPr="004543AE">
      <w:rPr>
        <w:noProof/>
        <w:sz w:val="28"/>
      </w:rPr>
      <w:t>13</w:t>
    </w:r>
    <w:r>
      <w:rPr>
        <w:sz w:val="28"/>
      </w:rPr>
      <w:fldChar w:fldCharType="end"/>
    </w:r>
    <w:r>
      <w:rPr>
        <w:sz w:val="28"/>
      </w:rPr>
      <w:t xml:space="preserve"> - </w:t>
    </w:r>
  </w:p>
  <w:p w:rsidR="00BA2A91" w:rsidRDefault="00A35F19">
    <w:pPr>
      <w:spacing w:after="0" w:line="259" w:lineRule="auto"/>
      <w:ind w:left="0" w:firstLine="0"/>
    </w:pPr>
    <w:r>
      <w:rPr>
        <w:rFonts w:ascii="Calibri" w:eastAsia="Calibri" w:hAnsi="Calibri" w:cs="Calibri"/>
        <w:sz w:val="18"/>
      </w:rPr>
      <w:t xml:space="preserve"> </w:t>
    </w: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2A91" w:rsidRDefault="00A35F19">
    <w:pPr>
      <w:spacing w:after="0" w:line="259" w:lineRule="auto"/>
      <w:ind w:left="0" w:firstLine="0"/>
    </w:pPr>
    <w:r>
      <w:rPr>
        <w:sz w:val="28"/>
      </w:rPr>
      <w:t xml:space="preserve">- </w:t>
    </w:r>
    <w:r>
      <w:fldChar w:fldCharType="begin"/>
    </w:r>
    <w:r>
      <w:instrText xml:space="preserve"> PAGE   \* MERGEFORMAT </w:instrText>
    </w:r>
    <w:r>
      <w:fldChar w:fldCharType="separate"/>
    </w:r>
    <w:r>
      <w:rPr>
        <w:sz w:val="28"/>
      </w:rPr>
      <w:t>10</w:t>
    </w:r>
    <w:r>
      <w:rPr>
        <w:sz w:val="28"/>
      </w:rPr>
      <w:fldChar w:fldCharType="end"/>
    </w:r>
    <w:r>
      <w:rPr>
        <w:sz w:val="28"/>
      </w:rPr>
      <w:t xml:space="preserve"> </w:t>
    </w:r>
  </w:p>
  <w:p w:rsidR="00BA2A91" w:rsidRDefault="00A35F19">
    <w:pPr>
      <w:spacing w:after="0" w:line="259" w:lineRule="auto"/>
      <w:ind w:left="0" w:firstLine="0"/>
    </w:pPr>
    <w:r>
      <w:rPr>
        <w:rFonts w:ascii="Calibri" w:eastAsia="Calibri" w:hAnsi="Calibri" w:cs="Calibri"/>
        <w:sz w:val="18"/>
      </w:rPr>
      <w:t xml:space="preserve"> </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C456A" w:rsidRDefault="00BC456A">
      <w:pPr>
        <w:spacing w:after="0" w:line="240" w:lineRule="auto"/>
      </w:pPr>
      <w:r>
        <w:separator/>
      </w:r>
    </w:p>
  </w:footnote>
  <w:footnote w:type="continuationSeparator" w:id="0">
    <w:p w:rsidR="00BC456A" w:rsidRDefault="00BC456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44DF8"/>
    <w:multiLevelType w:val="hybridMultilevel"/>
    <w:tmpl w:val="F2CC10F4"/>
    <w:lvl w:ilvl="0" w:tplc="C0260A98">
      <w:start w:val="1"/>
      <w:numFmt w:val="ideographDigital"/>
      <w:lvlText w:val="（%1）"/>
      <w:lvlJc w:val="left"/>
      <w:pPr>
        <w:ind w:left="103"/>
      </w:pPr>
      <w:rPr>
        <w:rFonts w:ascii="FangSong" w:eastAsia="FangSong" w:hAnsi="FangSong" w:cs="FangSong"/>
        <w:b w:val="0"/>
        <w:i w:val="0"/>
        <w:strike w:val="0"/>
        <w:dstrike w:val="0"/>
        <w:color w:val="000000"/>
        <w:sz w:val="32"/>
        <w:szCs w:val="32"/>
        <w:u w:val="none" w:color="000000"/>
        <w:bdr w:val="none" w:sz="0" w:space="0" w:color="auto"/>
        <w:shd w:val="clear" w:color="auto" w:fill="auto"/>
        <w:vertAlign w:val="baseline"/>
      </w:rPr>
    </w:lvl>
    <w:lvl w:ilvl="1" w:tplc="E1E0E1E4">
      <w:start w:val="1"/>
      <w:numFmt w:val="lowerLetter"/>
      <w:lvlText w:val="%2"/>
      <w:lvlJc w:val="left"/>
      <w:pPr>
        <w:ind w:left="1723"/>
      </w:pPr>
      <w:rPr>
        <w:rFonts w:ascii="FangSong" w:eastAsia="FangSong" w:hAnsi="FangSong" w:cs="FangSong"/>
        <w:b w:val="0"/>
        <w:i w:val="0"/>
        <w:strike w:val="0"/>
        <w:dstrike w:val="0"/>
        <w:color w:val="000000"/>
        <w:sz w:val="32"/>
        <w:szCs w:val="32"/>
        <w:u w:val="none" w:color="000000"/>
        <w:bdr w:val="none" w:sz="0" w:space="0" w:color="auto"/>
        <w:shd w:val="clear" w:color="auto" w:fill="auto"/>
        <w:vertAlign w:val="baseline"/>
      </w:rPr>
    </w:lvl>
    <w:lvl w:ilvl="2" w:tplc="A4BC67EE">
      <w:start w:val="1"/>
      <w:numFmt w:val="lowerRoman"/>
      <w:lvlText w:val="%3"/>
      <w:lvlJc w:val="left"/>
      <w:pPr>
        <w:ind w:left="2443"/>
      </w:pPr>
      <w:rPr>
        <w:rFonts w:ascii="FangSong" w:eastAsia="FangSong" w:hAnsi="FangSong" w:cs="FangSong"/>
        <w:b w:val="0"/>
        <w:i w:val="0"/>
        <w:strike w:val="0"/>
        <w:dstrike w:val="0"/>
        <w:color w:val="000000"/>
        <w:sz w:val="32"/>
        <w:szCs w:val="32"/>
        <w:u w:val="none" w:color="000000"/>
        <w:bdr w:val="none" w:sz="0" w:space="0" w:color="auto"/>
        <w:shd w:val="clear" w:color="auto" w:fill="auto"/>
        <w:vertAlign w:val="baseline"/>
      </w:rPr>
    </w:lvl>
    <w:lvl w:ilvl="3" w:tplc="72B02BAC">
      <w:start w:val="1"/>
      <w:numFmt w:val="decimal"/>
      <w:lvlText w:val="%4"/>
      <w:lvlJc w:val="left"/>
      <w:pPr>
        <w:ind w:left="3163"/>
      </w:pPr>
      <w:rPr>
        <w:rFonts w:ascii="FangSong" w:eastAsia="FangSong" w:hAnsi="FangSong" w:cs="FangSong"/>
        <w:b w:val="0"/>
        <w:i w:val="0"/>
        <w:strike w:val="0"/>
        <w:dstrike w:val="0"/>
        <w:color w:val="000000"/>
        <w:sz w:val="32"/>
        <w:szCs w:val="32"/>
        <w:u w:val="none" w:color="000000"/>
        <w:bdr w:val="none" w:sz="0" w:space="0" w:color="auto"/>
        <w:shd w:val="clear" w:color="auto" w:fill="auto"/>
        <w:vertAlign w:val="baseline"/>
      </w:rPr>
    </w:lvl>
    <w:lvl w:ilvl="4" w:tplc="BFC68762">
      <w:start w:val="1"/>
      <w:numFmt w:val="lowerLetter"/>
      <w:lvlText w:val="%5"/>
      <w:lvlJc w:val="left"/>
      <w:pPr>
        <w:ind w:left="3883"/>
      </w:pPr>
      <w:rPr>
        <w:rFonts w:ascii="FangSong" w:eastAsia="FangSong" w:hAnsi="FangSong" w:cs="FangSong"/>
        <w:b w:val="0"/>
        <w:i w:val="0"/>
        <w:strike w:val="0"/>
        <w:dstrike w:val="0"/>
        <w:color w:val="000000"/>
        <w:sz w:val="32"/>
        <w:szCs w:val="32"/>
        <w:u w:val="none" w:color="000000"/>
        <w:bdr w:val="none" w:sz="0" w:space="0" w:color="auto"/>
        <w:shd w:val="clear" w:color="auto" w:fill="auto"/>
        <w:vertAlign w:val="baseline"/>
      </w:rPr>
    </w:lvl>
    <w:lvl w:ilvl="5" w:tplc="253E4262">
      <w:start w:val="1"/>
      <w:numFmt w:val="lowerRoman"/>
      <w:lvlText w:val="%6"/>
      <w:lvlJc w:val="left"/>
      <w:pPr>
        <w:ind w:left="4603"/>
      </w:pPr>
      <w:rPr>
        <w:rFonts w:ascii="FangSong" w:eastAsia="FangSong" w:hAnsi="FangSong" w:cs="FangSong"/>
        <w:b w:val="0"/>
        <w:i w:val="0"/>
        <w:strike w:val="0"/>
        <w:dstrike w:val="0"/>
        <w:color w:val="000000"/>
        <w:sz w:val="32"/>
        <w:szCs w:val="32"/>
        <w:u w:val="none" w:color="000000"/>
        <w:bdr w:val="none" w:sz="0" w:space="0" w:color="auto"/>
        <w:shd w:val="clear" w:color="auto" w:fill="auto"/>
        <w:vertAlign w:val="baseline"/>
      </w:rPr>
    </w:lvl>
    <w:lvl w:ilvl="6" w:tplc="0DF0F654">
      <w:start w:val="1"/>
      <w:numFmt w:val="decimal"/>
      <w:lvlText w:val="%7"/>
      <w:lvlJc w:val="left"/>
      <w:pPr>
        <w:ind w:left="5323"/>
      </w:pPr>
      <w:rPr>
        <w:rFonts w:ascii="FangSong" w:eastAsia="FangSong" w:hAnsi="FangSong" w:cs="FangSong"/>
        <w:b w:val="0"/>
        <w:i w:val="0"/>
        <w:strike w:val="0"/>
        <w:dstrike w:val="0"/>
        <w:color w:val="000000"/>
        <w:sz w:val="32"/>
        <w:szCs w:val="32"/>
        <w:u w:val="none" w:color="000000"/>
        <w:bdr w:val="none" w:sz="0" w:space="0" w:color="auto"/>
        <w:shd w:val="clear" w:color="auto" w:fill="auto"/>
        <w:vertAlign w:val="baseline"/>
      </w:rPr>
    </w:lvl>
    <w:lvl w:ilvl="7" w:tplc="AC025D78">
      <w:start w:val="1"/>
      <w:numFmt w:val="lowerLetter"/>
      <w:lvlText w:val="%8"/>
      <w:lvlJc w:val="left"/>
      <w:pPr>
        <w:ind w:left="6043"/>
      </w:pPr>
      <w:rPr>
        <w:rFonts w:ascii="FangSong" w:eastAsia="FangSong" w:hAnsi="FangSong" w:cs="FangSong"/>
        <w:b w:val="0"/>
        <w:i w:val="0"/>
        <w:strike w:val="0"/>
        <w:dstrike w:val="0"/>
        <w:color w:val="000000"/>
        <w:sz w:val="32"/>
        <w:szCs w:val="32"/>
        <w:u w:val="none" w:color="000000"/>
        <w:bdr w:val="none" w:sz="0" w:space="0" w:color="auto"/>
        <w:shd w:val="clear" w:color="auto" w:fill="auto"/>
        <w:vertAlign w:val="baseline"/>
      </w:rPr>
    </w:lvl>
    <w:lvl w:ilvl="8" w:tplc="54D6E8D2">
      <w:start w:val="1"/>
      <w:numFmt w:val="lowerRoman"/>
      <w:lvlText w:val="%9"/>
      <w:lvlJc w:val="left"/>
      <w:pPr>
        <w:ind w:left="6763"/>
      </w:pPr>
      <w:rPr>
        <w:rFonts w:ascii="FangSong" w:eastAsia="FangSong" w:hAnsi="FangSong" w:cs="FangSong"/>
        <w:b w:val="0"/>
        <w:i w:val="0"/>
        <w:strike w:val="0"/>
        <w:dstrike w:val="0"/>
        <w:color w:val="000000"/>
        <w:sz w:val="32"/>
        <w:szCs w:val="32"/>
        <w:u w:val="none" w:color="000000"/>
        <w:bdr w:val="none" w:sz="0" w:space="0" w:color="auto"/>
        <w:shd w:val="clear" w:color="auto" w:fill="auto"/>
        <w:vertAlign w:val="baseline"/>
      </w:rPr>
    </w:lvl>
  </w:abstractNum>
  <w:abstractNum w:abstractNumId="1" w15:restartNumberingAfterBreak="0">
    <w:nsid w:val="4B3C0093"/>
    <w:multiLevelType w:val="hybridMultilevel"/>
    <w:tmpl w:val="5838F82E"/>
    <w:lvl w:ilvl="0" w:tplc="8C18ED0C">
      <w:start w:val="1"/>
      <w:numFmt w:val="ideographDigital"/>
      <w:lvlText w:val="（%1）"/>
      <w:lvlJc w:val="left"/>
      <w:pPr>
        <w:ind w:left="103"/>
      </w:pPr>
      <w:rPr>
        <w:rFonts w:ascii="FangSong" w:eastAsia="FangSong" w:hAnsi="FangSong" w:cs="FangSong"/>
        <w:b w:val="0"/>
        <w:i w:val="0"/>
        <w:strike w:val="0"/>
        <w:dstrike w:val="0"/>
        <w:color w:val="000000"/>
        <w:sz w:val="32"/>
        <w:szCs w:val="32"/>
        <w:u w:val="none" w:color="000000"/>
        <w:bdr w:val="none" w:sz="0" w:space="0" w:color="auto"/>
        <w:shd w:val="clear" w:color="auto" w:fill="auto"/>
        <w:vertAlign w:val="baseline"/>
      </w:rPr>
    </w:lvl>
    <w:lvl w:ilvl="1" w:tplc="690EB5C6">
      <w:start w:val="1"/>
      <w:numFmt w:val="lowerLetter"/>
      <w:lvlText w:val="%2"/>
      <w:lvlJc w:val="left"/>
      <w:pPr>
        <w:ind w:left="1780"/>
      </w:pPr>
      <w:rPr>
        <w:rFonts w:ascii="FangSong" w:eastAsia="FangSong" w:hAnsi="FangSong" w:cs="FangSong"/>
        <w:b w:val="0"/>
        <w:i w:val="0"/>
        <w:strike w:val="0"/>
        <w:dstrike w:val="0"/>
        <w:color w:val="000000"/>
        <w:sz w:val="32"/>
        <w:szCs w:val="32"/>
        <w:u w:val="none" w:color="000000"/>
        <w:bdr w:val="none" w:sz="0" w:space="0" w:color="auto"/>
        <w:shd w:val="clear" w:color="auto" w:fill="auto"/>
        <w:vertAlign w:val="baseline"/>
      </w:rPr>
    </w:lvl>
    <w:lvl w:ilvl="2" w:tplc="108054CA">
      <w:start w:val="1"/>
      <w:numFmt w:val="lowerRoman"/>
      <w:lvlText w:val="%3"/>
      <w:lvlJc w:val="left"/>
      <w:pPr>
        <w:ind w:left="2500"/>
      </w:pPr>
      <w:rPr>
        <w:rFonts w:ascii="FangSong" w:eastAsia="FangSong" w:hAnsi="FangSong" w:cs="FangSong"/>
        <w:b w:val="0"/>
        <w:i w:val="0"/>
        <w:strike w:val="0"/>
        <w:dstrike w:val="0"/>
        <w:color w:val="000000"/>
        <w:sz w:val="32"/>
        <w:szCs w:val="32"/>
        <w:u w:val="none" w:color="000000"/>
        <w:bdr w:val="none" w:sz="0" w:space="0" w:color="auto"/>
        <w:shd w:val="clear" w:color="auto" w:fill="auto"/>
        <w:vertAlign w:val="baseline"/>
      </w:rPr>
    </w:lvl>
    <w:lvl w:ilvl="3" w:tplc="420650FE">
      <w:start w:val="1"/>
      <w:numFmt w:val="decimal"/>
      <w:lvlText w:val="%4"/>
      <w:lvlJc w:val="left"/>
      <w:pPr>
        <w:ind w:left="3220"/>
      </w:pPr>
      <w:rPr>
        <w:rFonts w:ascii="FangSong" w:eastAsia="FangSong" w:hAnsi="FangSong" w:cs="FangSong"/>
        <w:b w:val="0"/>
        <w:i w:val="0"/>
        <w:strike w:val="0"/>
        <w:dstrike w:val="0"/>
        <w:color w:val="000000"/>
        <w:sz w:val="32"/>
        <w:szCs w:val="32"/>
        <w:u w:val="none" w:color="000000"/>
        <w:bdr w:val="none" w:sz="0" w:space="0" w:color="auto"/>
        <w:shd w:val="clear" w:color="auto" w:fill="auto"/>
        <w:vertAlign w:val="baseline"/>
      </w:rPr>
    </w:lvl>
    <w:lvl w:ilvl="4" w:tplc="7260332A">
      <w:start w:val="1"/>
      <w:numFmt w:val="lowerLetter"/>
      <w:lvlText w:val="%5"/>
      <w:lvlJc w:val="left"/>
      <w:pPr>
        <w:ind w:left="3940"/>
      </w:pPr>
      <w:rPr>
        <w:rFonts w:ascii="FangSong" w:eastAsia="FangSong" w:hAnsi="FangSong" w:cs="FangSong"/>
        <w:b w:val="0"/>
        <w:i w:val="0"/>
        <w:strike w:val="0"/>
        <w:dstrike w:val="0"/>
        <w:color w:val="000000"/>
        <w:sz w:val="32"/>
        <w:szCs w:val="32"/>
        <w:u w:val="none" w:color="000000"/>
        <w:bdr w:val="none" w:sz="0" w:space="0" w:color="auto"/>
        <w:shd w:val="clear" w:color="auto" w:fill="auto"/>
        <w:vertAlign w:val="baseline"/>
      </w:rPr>
    </w:lvl>
    <w:lvl w:ilvl="5" w:tplc="3D08CAAE">
      <w:start w:val="1"/>
      <w:numFmt w:val="lowerRoman"/>
      <w:lvlText w:val="%6"/>
      <w:lvlJc w:val="left"/>
      <w:pPr>
        <w:ind w:left="4660"/>
      </w:pPr>
      <w:rPr>
        <w:rFonts w:ascii="FangSong" w:eastAsia="FangSong" w:hAnsi="FangSong" w:cs="FangSong"/>
        <w:b w:val="0"/>
        <w:i w:val="0"/>
        <w:strike w:val="0"/>
        <w:dstrike w:val="0"/>
        <w:color w:val="000000"/>
        <w:sz w:val="32"/>
        <w:szCs w:val="32"/>
        <w:u w:val="none" w:color="000000"/>
        <w:bdr w:val="none" w:sz="0" w:space="0" w:color="auto"/>
        <w:shd w:val="clear" w:color="auto" w:fill="auto"/>
        <w:vertAlign w:val="baseline"/>
      </w:rPr>
    </w:lvl>
    <w:lvl w:ilvl="6" w:tplc="226A9DD6">
      <w:start w:val="1"/>
      <w:numFmt w:val="decimal"/>
      <w:lvlText w:val="%7"/>
      <w:lvlJc w:val="left"/>
      <w:pPr>
        <w:ind w:left="5380"/>
      </w:pPr>
      <w:rPr>
        <w:rFonts w:ascii="FangSong" w:eastAsia="FangSong" w:hAnsi="FangSong" w:cs="FangSong"/>
        <w:b w:val="0"/>
        <w:i w:val="0"/>
        <w:strike w:val="0"/>
        <w:dstrike w:val="0"/>
        <w:color w:val="000000"/>
        <w:sz w:val="32"/>
        <w:szCs w:val="32"/>
        <w:u w:val="none" w:color="000000"/>
        <w:bdr w:val="none" w:sz="0" w:space="0" w:color="auto"/>
        <w:shd w:val="clear" w:color="auto" w:fill="auto"/>
        <w:vertAlign w:val="baseline"/>
      </w:rPr>
    </w:lvl>
    <w:lvl w:ilvl="7" w:tplc="C15EAE40">
      <w:start w:val="1"/>
      <w:numFmt w:val="lowerLetter"/>
      <w:lvlText w:val="%8"/>
      <w:lvlJc w:val="left"/>
      <w:pPr>
        <w:ind w:left="6100"/>
      </w:pPr>
      <w:rPr>
        <w:rFonts w:ascii="FangSong" w:eastAsia="FangSong" w:hAnsi="FangSong" w:cs="FangSong"/>
        <w:b w:val="0"/>
        <w:i w:val="0"/>
        <w:strike w:val="0"/>
        <w:dstrike w:val="0"/>
        <w:color w:val="000000"/>
        <w:sz w:val="32"/>
        <w:szCs w:val="32"/>
        <w:u w:val="none" w:color="000000"/>
        <w:bdr w:val="none" w:sz="0" w:space="0" w:color="auto"/>
        <w:shd w:val="clear" w:color="auto" w:fill="auto"/>
        <w:vertAlign w:val="baseline"/>
      </w:rPr>
    </w:lvl>
    <w:lvl w:ilvl="8" w:tplc="4A528A38">
      <w:start w:val="1"/>
      <w:numFmt w:val="lowerRoman"/>
      <w:lvlText w:val="%9"/>
      <w:lvlJc w:val="left"/>
      <w:pPr>
        <w:ind w:left="6820"/>
      </w:pPr>
      <w:rPr>
        <w:rFonts w:ascii="FangSong" w:eastAsia="FangSong" w:hAnsi="FangSong" w:cs="FangSong"/>
        <w:b w:val="0"/>
        <w:i w:val="0"/>
        <w:strike w:val="0"/>
        <w:dstrike w:val="0"/>
        <w:color w:val="000000"/>
        <w:sz w:val="32"/>
        <w:szCs w:val="32"/>
        <w:u w:val="none" w:color="000000"/>
        <w:bdr w:val="none" w:sz="0" w:space="0" w:color="auto"/>
        <w:shd w:val="clear" w:color="auto" w:fill="auto"/>
        <w:vertAlign w:val="baseline"/>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evenAndOddHeaders/>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2A91"/>
    <w:rsid w:val="004543AE"/>
    <w:rsid w:val="007B69BD"/>
    <w:rsid w:val="009A383C"/>
    <w:rsid w:val="00A35F19"/>
    <w:rsid w:val="00BA2A91"/>
    <w:rsid w:val="00BC456A"/>
    <w:rsid w:val="00F719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3E8751"/>
  <w15:docId w15:val="{994DBC20-76A0-4EAC-9F5B-88319D0EAB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4" w:line="345" w:lineRule="auto"/>
      <w:ind w:left="295" w:firstLine="633"/>
    </w:pPr>
    <w:rPr>
      <w:rFonts w:ascii="FangSong" w:eastAsia="FangSong" w:hAnsi="FangSong" w:cs="FangSong"/>
      <w:color w:val="000000"/>
      <w:sz w:val="32"/>
    </w:rPr>
  </w:style>
  <w:style w:type="paragraph" w:styleId="1">
    <w:name w:val="heading 1"/>
    <w:next w:val="a"/>
    <w:link w:val="10"/>
    <w:uiPriority w:val="9"/>
    <w:unhideWhenUsed/>
    <w:qFormat/>
    <w:pPr>
      <w:keepNext/>
      <w:keepLines/>
      <w:spacing w:after="141" w:line="259" w:lineRule="auto"/>
      <w:ind w:left="305" w:hanging="10"/>
      <w:jc w:val="center"/>
      <w:outlineLvl w:val="0"/>
    </w:pPr>
    <w:rPr>
      <w:rFonts w:ascii="FangSong" w:eastAsia="FangSong" w:hAnsi="FangSong" w:cs="FangSong"/>
      <w:color w:val="000000"/>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Pr>
      <w:rFonts w:ascii="FangSong" w:eastAsia="FangSong" w:hAnsi="FangSong" w:cs="FangSong"/>
      <w:color w:val="000000"/>
      <w:sz w:val="32"/>
    </w:rPr>
  </w:style>
  <w:style w:type="paragraph" w:styleId="a3">
    <w:name w:val="header"/>
    <w:basedOn w:val="a"/>
    <w:link w:val="a4"/>
    <w:uiPriority w:val="99"/>
    <w:unhideWhenUsed/>
    <w:rsid w:val="009A383C"/>
    <w:pPr>
      <w:pBdr>
        <w:bottom w:val="single" w:sz="6" w:space="1" w:color="auto"/>
      </w:pBdr>
      <w:tabs>
        <w:tab w:val="center" w:pos="4153"/>
        <w:tab w:val="right" w:pos="8306"/>
      </w:tabs>
      <w:snapToGrid w:val="0"/>
      <w:spacing w:line="240" w:lineRule="auto"/>
      <w:jc w:val="center"/>
    </w:pPr>
    <w:rPr>
      <w:sz w:val="18"/>
      <w:szCs w:val="18"/>
    </w:rPr>
  </w:style>
  <w:style w:type="character" w:customStyle="1" w:styleId="a4">
    <w:name w:val="页眉 字符"/>
    <w:basedOn w:val="a0"/>
    <w:link w:val="a3"/>
    <w:uiPriority w:val="99"/>
    <w:rsid w:val="009A383C"/>
    <w:rPr>
      <w:rFonts w:ascii="FangSong" w:eastAsia="FangSong" w:hAnsi="FangSong" w:cs="FangSong"/>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oter" Target="footer6.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5.xml"/><Relationship Id="rId5" Type="http://schemas.openxmlformats.org/officeDocument/2006/relationships/footnotes" Target="footnotes.xml"/><Relationship Id="rId10"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footer" Target="footer3.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12</Pages>
  <Words>712</Words>
  <Characters>4062</Characters>
  <Application>Microsoft Office Word</Application>
  <DocSecurity>0</DocSecurity>
  <Lines>33</Lines>
  <Paragraphs>9</Paragraphs>
  <ScaleCrop>false</ScaleCrop>
  <Company/>
  <LinksUpToDate>false</LinksUpToDate>
  <CharactersWithSpaces>4765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nan</dc:creator>
  <cp:keywords/>
  <cp:lastModifiedBy>nan</cp:lastModifiedBy>
  <cp:revision>5</cp:revision>
  <dcterms:created xsi:type="dcterms:W3CDTF">2017-10-19T06:35:00Z</dcterms:created>
  <dcterms:modified xsi:type="dcterms:W3CDTF">2017-10-19T06:40:00Z</dcterms:modified>
</cp:coreProperties>
</file>