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7A9F" w:rsidRPr="00DD1633" w:rsidRDefault="00DD1633">
      <w:pPr>
        <w:rPr>
          <w:rFonts w:ascii="仿宋" w:eastAsia="仿宋" w:hAnsi="仿宋"/>
          <w:b/>
          <w:sz w:val="32"/>
          <w:szCs w:val="32"/>
        </w:rPr>
      </w:pPr>
      <w:r w:rsidRPr="00DD1633">
        <w:rPr>
          <w:rFonts w:ascii="仿宋" w:eastAsia="仿宋" w:hAnsi="仿宋" w:hint="eastAsia"/>
          <w:b/>
          <w:sz w:val="32"/>
          <w:szCs w:val="32"/>
        </w:rPr>
        <w:t>附件11.1：</w:t>
      </w:r>
    </w:p>
    <w:p w:rsidR="00DD1633" w:rsidRDefault="00DD1633">
      <w:pPr>
        <w:rPr>
          <w:noProof/>
        </w:rPr>
      </w:pPr>
      <w:r>
        <w:rPr>
          <w:rFonts w:hint="eastAsia"/>
        </w:rPr>
        <w:t>:</w:t>
      </w:r>
      <w:r w:rsidRPr="00DD1633">
        <w:rPr>
          <w:noProof/>
        </w:rPr>
        <w:t xml:space="preserve"> </w:t>
      </w:r>
      <w:r>
        <w:rPr>
          <w:noProof/>
        </w:rPr>
        <w:drawing>
          <wp:inline distT="0" distB="0" distL="0" distR="0" wp14:anchorId="6451C9FA" wp14:editId="006FD79C">
            <wp:extent cx="5274310" cy="66414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274310" cy="6641465"/>
                    </a:xfrm>
                    <a:prstGeom prst="rect">
                      <a:avLst/>
                    </a:prstGeom>
                  </pic:spPr>
                </pic:pic>
              </a:graphicData>
            </a:graphic>
          </wp:inline>
        </w:drawing>
      </w:r>
    </w:p>
    <w:p w:rsidR="00DD1633" w:rsidRDefault="00DD1633">
      <w:pPr>
        <w:rPr>
          <w:noProof/>
        </w:rPr>
      </w:pPr>
    </w:p>
    <w:p w:rsidR="00DD1633" w:rsidRDefault="00DD1633">
      <w:pPr>
        <w:rPr>
          <w:noProof/>
        </w:rPr>
      </w:pPr>
    </w:p>
    <w:p w:rsidR="00DD1633" w:rsidRDefault="00DD1633">
      <w:pPr>
        <w:rPr>
          <w:noProof/>
        </w:rPr>
      </w:pPr>
    </w:p>
    <w:p w:rsidR="00DD1633" w:rsidRDefault="00DD1633">
      <w:pPr>
        <w:rPr>
          <w:noProof/>
        </w:rPr>
      </w:pPr>
    </w:p>
    <w:p w:rsidR="00DD1633" w:rsidRDefault="00DD1633">
      <w:pPr>
        <w:rPr>
          <w:noProof/>
        </w:rPr>
      </w:pPr>
    </w:p>
    <w:p w:rsidR="00DD1633" w:rsidRDefault="00DD1633">
      <w:pPr>
        <w:rPr>
          <w:noProof/>
        </w:rPr>
      </w:pPr>
    </w:p>
    <w:p w:rsidR="00DD1633" w:rsidRDefault="00DD1633">
      <w:pPr>
        <w:rPr>
          <w:noProof/>
        </w:rPr>
      </w:pPr>
    </w:p>
    <w:p w:rsidR="00DD1633" w:rsidRDefault="00DD1633">
      <w:pPr>
        <w:rPr>
          <w:noProof/>
        </w:rPr>
      </w:pPr>
    </w:p>
    <w:p w:rsidR="00DD1633" w:rsidRPr="00A56D71" w:rsidRDefault="00DD1633" w:rsidP="00DD1633">
      <w:pPr>
        <w:spacing w:line="259" w:lineRule="auto"/>
        <w:ind w:left="919"/>
        <w:rPr>
          <w:u w:val="double"/>
        </w:rPr>
      </w:pPr>
      <w:r w:rsidRPr="00A56D71">
        <w:rPr>
          <w:rFonts w:ascii="SimSun-PUA" w:eastAsia="SimSun-PUA" w:hAnsi="SimSun-PUA" w:cs="SimSun-PUA"/>
          <w:color w:val="FF0000"/>
          <w:sz w:val="72"/>
          <w:u w:val="double"/>
        </w:rPr>
        <w:t>山东理工大学研究生院</w:t>
      </w:r>
      <w:r w:rsidRPr="00A56D71">
        <w:rPr>
          <w:rFonts w:ascii="SimSun-PUA" w:eastAsia="SimSun-PUA" w:hAnsi="SimSun-PUA" w:cs="SimSun-PUA"/>
          <w:sz w:val="72"/>
          <w:u w:val="double"/>
        </w:rPr>
        <w:t xml:space="preserve"> </w:t>
      </w:r>
    </w:p>
    <w:p w:rsidR="00DD1633" w:rsidRDefault="00DD1633" w:rsidP="00DD1633">
      <w:pPr>
        <w:spacing w:line="332" w:lineRule="auto"/>
        <w:ind w:left="156" w:right="630" w:hanging="137"/>
        <w:jc w:val="right"/>
      </w:pPr>
      <w:r>
        <w:rPr>
          <w:rFonts w:ascii="仿宋_GB2312" w:eastAsia="仿宋_GB2312" w:hAnsi="仿宋_GB2312" w:cs="仿宋_GB2312"/>
          <w:color w:val="FF0000"/>
        </w:rPr>
        <w:t xml:space="preserve">   </w:t>
      </w:r>
      <w:r>
        <w:rPr>
          <w:rFonts w:ascii="SimSun-PUA" w:eastAsia="SimSun-PUA" w:hAnsi="SimSun-PUA" w:cs="SimSun-PUA"/>
        </w:rPr>
        <w:t xml:space="preserve">         </w:t>
      </w:r>
      <w:r>
        <w:rPr>
          <w:rFonts w:ascii="仿宋_GB2312" w:eastAsia="仿宋_GB2312" w:hAnsi="仿宋_GB2312" w:cs="仿宋_GB2312"/>
        </w:rPr>
        <w:t xml:space="preserve">               </w:t>
      </w:r>
      <w:r>
        <w:rPr>
          <w:rFonts w:ascii="SimSun-PUA" w:eastAsia="SimSun-PUA" w:hAnsi="SimSun-PUA" w:cs="SimSun-PUA"/>
        </w:rPr>
        <w:t xml:space="preserve"> </w:t>
      </w:r>
      <w:r>
        <w:t>研究生函【</w:t>
      </w:r>
      <w:r>
        <w:rPr>
          <w:rFonts w:ascii="仿宋_GB2312" w:eastAsia="仿宋_GB2312" w:hAnsi="仿宋_GB2312" w:cs="仿宋_GB2312"/>
        </w:rPr>
        <w:t>2017</w:t>
      </w:r>
      <w:r>
        <w:t>】</w:t>
      </w:r>
      <w:r>
        <w:rPr>
          <w:rFonts w:ascii="仿宋_GB2312" w:eastAsia="仿宋_GB2312" w:hAnsi="仿宋_GB2312" w:cs="仿宋_GB2312"/>
        </w:rPr>
        <w:t>20</w:t>
      </w:r>
      <w:r>
        <w:t>号</w:t>
      </w:r>
    </w:p>
    <w:p w:rsidR="00DD1633" w:rsidRDefault="00DD1633" w:rsidP="00DD1633">
      <w:pPr>
        <w:spacing w:line="332" w:lineRule="auto"/>
        <w:ind w:left="156" w:hanging="137"/>
        <w:jc w:val="right"/>
        <w:rPr>
          <w:rFonts w:hint="eastAsia"/>
        </w:rPr>
      </w:pPr>
    </w:p>
    <w:p w:rsidR="00DD1633" w:rsidRDefault="00DD1633" w:rsidP="00DD1633">
      <w:pPr>
        <w:spacing w:line="332" w:lineRule="auto"/>
        <w:ind w:left="156" w:hanging="137"/>
        <w:jc w:val="center"/>
        <w:rPr>
          <w:rFonts w:ascii="微软雅黑" w:eastAsia="微软雅黑" w:hAnsi="微软雅黑" w:cs="微软雅黑"/>
          <w:sz w:val="44"/>
        </w:rPr>
      </w:pPr>
      <w:r>
        <w:rPr>
          <w:rFonts w:ascii="微软雅黑" w:eastAsia="微软雅黑" w:hAnsi="微软雅黑" w:cs="微软雅黑"/>
          <w:sz w:val="44"/>
        </w:rPr>
        <w:t>关于印发</w:t>
      </w:r>
      <w:proofErr w:type="gramStart"/>
      <w:r>
        <w:rPr>
          <w:rFonts w:ascii="微软雅黑" w:eastAsia="微软雅黑" w:hAnsi="微软雅黑" w:cs="微软雅黑"/>
          <w:sz w:val="44"/>
        </w:rPr>
        <w:t>《</w:t>
      </w:r>
      <w:proofErr w:type="gramEnd"/>
      <w:r>
        <w:rPr>
          <w:rFonts w:ascii="微软雅黑" w:eastAsia="微软雅黑" w:hAnsi="微软雅黑" w:cs="微软雅黑"/>
          <w:sz w:val="44"/>
        </w:rPr>
        <w:t>山东理工大学一流学科建设经费</w:t>
      </w:r>
    </w:p>
    <w:p w:rsidR="00DD1633" w:rsidRDefault="00DD1633" w:rsidP="00DD1633">
      <w:pPr>
        <w:spacing w:line="332" w:lineRule="auto"/>
        <w:ind w:left="156" w:hanging="137"/>
        <w:jc w:val="center"/>
      </w:pPr>
      <w:r>
        <w:rPr>
          <w:rFonts w:ascii="微软雅黑" w:eastAsia="微软雅黑" w:hAnsi="微软雅黑" w:cs="微软雅黑"/>
          <w:sz w:val="44"/>
        </w:rPr>
        <w:t>使用管理暂行办法</w:t>
      </w:r>
      <w:proofErr w:type="gramStart"/>
      <w:r>
        <w:rPr>
          <w:rFonts w:ascii="微软雅黑" w:eastAsia="微软雅黑" w:hAnsi="微软雅黑" w:cs="微软雅黑"/>
          <w:sz w:val="44"/>
        </w:rPr>
        <w:t>》</w:t>
      </w:r>
      <w:proofErr w:type="gramEnd"/>
      <w:r>
        <w:rPr>
          <w:rFonts w:ascii="微软雅黑" w:eastAsia="微软雅黑" w:hAnsi="微软雅黑" w:cs="微软雅黑"/>
          <w:sz w:val="44"/>
        </w:rPr>
        <w:t>的通知</w:t>
      </w:r>
    </w:p>
    <w:p w:rsidR="00DD1633" w:rsidRDefault="00DD1633" w:rsidP="00DD1633">
      <w:pPr>
        <w:spacing w:after="166" w:line="259" w:lineRule="auto"/>
      </w:pPr>
      <w:r>
        <w:rPr>
          <w:rFonts w:ascii="仿宋_GB2312" w:eastAsia="仿宋_GB2312" w:hAnsi="仿宋_GB2312" w:cs="仿宋_GB2312"/>
        </w:rPr>
        <w:t xml:space="preserve">  </w:t>
      </w:r>
    </w:p>
    <w:p w:rsidR="00DD1633" w:rsidRDefault="00DD1633" w:rsidP="00DD1633">
      <w:pPr>
        <w:spacing w:after="166" w:line="259" w:lineRule="auto"/>
        <w:ind w:left="-15"/>
      </w:pPr>
      <w:r>
        <w:t>各有关单位：</w:t>
      </w:r>
      <w:r>
        <w:rPr>
          <w:rFonts w:ascii="仿宋_GB2312" w:eastAsia="仿宋_GB2312" w:hAnsi="仿宋_GB2312" w:cs="仿宋_GB2312"/>
        </w:rPr>
        <w:t xml:space="preserve"> </w:t>
      </w:r>
    </w:p>
    <w:p w:rsidR="00DD1633" w:rsidRDefault="00DD1633" w:rsidP="00DD1633">
      <w:pPr>
        <w:ind w:left="-15"/>
      </w:pPr>
      <w:r>
        <w:t>《山东理工大学一流学科建设经费使用管理暂行办法》业经研究同意，现予以印发，请各有关单位认真组织学习，并严格执行。</w:t>
      </w:r>
      <w:r>
        <w:rPr>
          <w:rFonts w:ascii="仿宋_GB2312" w:eastAsia="仿宋_GB2312" w:hAnsi="仿宋_GB2312" w:cs="仿宋_GB2312"/>
        </w:rPr>
        <w:t xml:space="preserve"> </w:t>
      </w:r>
    </w:p>
    <w:p w:rsidR="00DD1633" w:rsidRDefault="00DD1633" w:rsidP="00DD1633">
      <w:pPr>
        <w:spacing w:line="370" w:lineRule="auto"/>
        <w:ind w:left="641" w:right="8078"/>
      </w:pPr>
      <w:r>
        <w:rPr>
          <w:rFonts w:ascii="仿宋_GB2312" w:eastAsia="仿宋_GB2312" w:hAnsi="仿宋_GB2312" w:cs="仿宋_GB2312"/>
        </w:rPr>
        <w:t xml:space="preserve">    </w:t>
      </w:r>
    </w:p>
    <w:p w:rsidR="00DD1633" w:rsidRDefault="00DD1633" w:rsidP="00DD1633">
      <w:pPr>
        <w:spacing w:after="166" w:line="259" w:lineRule="auto"/>
        <w:ind w:left="641"/>
      </w:pPr>
      <w:r>
        <w:rPr>
          <w:rFonts w:ascii="仿宋_GB2312" w:eastAsia="仿宋_GB2312" w:hAnsi="仿宋_GB2312" w:cs="仿宋_GB2312"/>
        </w:rPr>
        <w:t xml:space="preserve">                               </w:t>
      </w:r>
      <w:r>
        <w:rPr>
          <w:rFonts w:hint="eastAsia"/>
        </w:rPr>
        <w:t xml:space="preserve">          </w:t>
      </w:r>
      <w:r>
        <w:rPr>
          <w:rFonts w:hint="eastAsia"/>
        </w:rPr>
        <w:t xml:space="preserve">                       </w:t>
      </w:r>
      <w:r>
        <w:rPr>
          <w:rFonts w:hint="eastAsia"/>
        </w:rPr>
        <w:t xml:space="preserve"> </w:t>
      </w:r>
      <w:r>
        <w:rPr>
          <w:rFonts w:ascii="仿宋_GB2312" w:eastAsia="仿宋_GB2312" w:hAnsi="仿宋_GB2312" w:cs="仿宋_GB2312"/>
        </w:rPr>
        <w:t xml:space="preserve"> </w:t>
      </w:r>
      <w:r>
        <w:t>研究生院</w:t>
      </w:r>
      <w:r>
        <w:rPr>
          <w:rFonts w:ascii="仿宋_GB2312" w:eastAsia="仿宋_GB2312" w:hAnsi="仿宋_GB2312" w:cs="仿宋_GB2312"/>
        </w:rPr>
        <w:t xml:space="preserve"> </w:t>
      </w:r>
    </w:p>
    <w:p w:rsidR="00DD1633" w:rsidRDefault="00DD1633" w:rsidP="00DD1633">
      <w:pPr>
        <w:spacing w:after="179" w:line="259" w:lineRule="auto"/>
      </w:pPr>
      <w:r>
        <w:rPr>
          <w:rFonts w:ascii="仿宋_GB2312" w:eastAsia="仿宋_GB2312" w:hAnsi="仿宋_GB2312" w:cs="仿宋_GB2312"/>
        </w:rPr>
        <w:t xml:space="preserve">                              </w:t>
      </w:r>
      <w:r>
        <w:rPr>
          <w:rFonts w:hint="eastAsia"/>
        </w:rPr>
        <w:t xml:space="preserve">         </w:t>
      </w:r>
      <w:r>
        <w:rPr>
          <w:rFonts w:hint="eastAsia"/>
        </w:rPr>
        <w:t xml:space="preserve">                            </w:t>
      </w:r>
      <w:r>
        <w:rPr>
          <w:rFonts w:ascii="仿宋_GB2312" w:eastAsia="仿宋_GB2312" w:hAnsi="仿宋_GB2312" w:cs="仿宋_GB2312"/>
        </w:rPr>
        <w:t xml:space="preserve"> 2017</w:t>
      </w:r>
      <w:r>
        <w:t>年</w:t>
      </w:r>
      <w:r>
        <w:rPr>
          <w:rFonts w:ascii="仿宋_GB2312" w:eastAsia="仿宋_GB2312" w:hAnsi="仿宋_GB2312" w:cs="仿宋_GB2312"/>
        </w:rPr>
        <w:t>4</w:t>
      </w:r>
      <w:r>
        <w:t>月</w:t>
      </w:r>
      <w:r>
        <w:rPr>
          <w:rFonts w:ascii="仿宋_GB2312" w:eastAsia="仿宋_GB2312" w:hAnsi="仿宋_GB2312" w:cs="仿宋_GB2312"/>
        </w:rPr>
        <w:t>20</w:t>
      </w:r>
      <w:r>
        <w:t>日</w:t>
      </w:r>
      <w:r>
        <w:rPr>
          <w:rFonts w:ascii="仿宋_GB2312" w:eastAsia="仿宋_GB2312" w:hAnsi="仿宋_GB2312" w:cs="仿宋_GB2312"/>
        </w:rPr>
        <w:t xml:space="preserve"> </w:t>
      </w:r>
    </w:p>
    <w:p w:rsidR="00DD1633" w:rsidRDefault="00DD1633" w:rsidP="00DD1633">
      <w:pPr>
        <w:spacing w:after="177" w:line="259" w:lineRule="auto"/>
      </w:pPr>
      <w:r>
        <w:rPr>
          <w:rFonts w:ascii="Calibri" w:eastAsia="Calibri" w:hAnsi="Calibri" w:cs="Calibri"/>
        </w:rPr>
        <w:t xml:space="preserve"> </w:t>
      </w:r>
      <w:r>
        <w:rPr>
          <w:rFonts w:ascii="仿宋_GB2312" w:eastAsia="仿宋_GB2312" w:hAnsi="仿宋_GB2312" w:cs="仿宋_GB2312"/>
        </w:rPr>
        <w:t xml:space="preserve"> </w:t>
      </w:r>
    </w:p>
    <w:p w:rsidR="00DD1633" w:rsidRDefault="00DD1633" w:rsidP="00DD1633">
      <w:pPr>
        <w:spacing w:after="167" w:line="259" w:lineRule="auto"/>
      </w:pPr>
      <w:r>
        <w:rPr>
          <w:rFonts w:ascii="Calibri" w:eastAsia="Calibri" w:hAnsi="Calibri" w:cs="Calibri"/>
        </w:rPr>
        <w:t xml:space="preserve"> </w:t>
      </w:r>
      <w:r>
        <w:rPr>
          <w:rFonts w:ascii="仿宋_GB2312" w:eastAsia="仿宋_GB2312" w:hAnsi="仿宋_GB2312" w:cs="仿宋_GB2312"/>
        </w:rPr>
        <w:t xml:space="preserve"> </w:t>
      </w:r>
    </w:p>
    <w:p w:rsidR="00DD1633" w:rsidRDefault="00DD1633" w:rsidP="00DD1633">
      <w:pPr>
        <w:pStyle w:val="1"/>
      </w:pPr>
      <w:r>
        <w:t xml:space="preserve">山东理工大学 </w:t>
      </w:r>
    </w:p>
    <w:p w:rsidR="00DD1633" w:rsidRDefault="00DD1633" w:rsidP="00DD1633">
      <w:pPr>
        <w:spacing w:line="259" w:lineRule="auto"/>
        <w:ind w:left="1001"/>
      </w:pPr>
      <w:r>
        <w:rPr>
          <w:rFonts w:ascii="微软雅黑" w:eastAsia="微软雅黑" w:hAnsi="微软雅黑" w:cs="微软雅黑"/>
          <w:sz w:val="44"/>
        </w:rPr>
        <w:t xml:space="preserve">一流学科建设经费使用管理暂行办法 </w:t>
      </w:r>
    </w:p>
    <w:p w:rsidR="00DD1633" w:rsidRDefault="00DD1633" w:rsidP="00DD1633">
      <w:pPr>
        <w:spacing w:line="471" w:lineRule="auto"/>
        <w:ind w:right="3222" w:firstLine="631"/>
        <w:jc w:val="center"/>
      </w:pPr>
      <w:r>
        <w:rPr>
          <w:rFonts w:asciiTheme="minorEastAsia" w:hAnsiTheme="minorEastAsia" w:cs="SimSun-PUA" w:hint="eastAsia"/>
        </w:rPr>
        <w:t xml:space="preserve">                        </w:t>
      </w:r>
      <w:r>
        <w:rPr>
          <w:rFonts w:ascii="SimSun-PUA" w:eastAsia="SimSun-PUA" w:hAnsi="SimSun-PUA" w:cs="SimSun-PUA"/>
        </w:rPr>
        <w:t>第一章  总  则</w:t>
      </w:r>
    </w:p>
    <w:p w:rsidR="00DD1633" w:rsidRDefault="00DD1633" w:rsidP="00DD1633">
      <w:pPr>
        <w:ind w:left="-15"/>
      </w:pPr>
      <w:r>
        <w:rPr>
          <w:rFonts w:ascii="黑体" w:eastAsia="黑体" w:hAnsi="黑体" w:cs="黑体"/>
        </w:rPr>
        <w:t>第一条</w:t>
      </w:r>
      <w:r>
        <w:rPr>
          <w:rFonts w:ascii="仿宋_GB2312" w:eastAsia="仿宋_GB2312" w:hAnsi="仿宋_GB2312" w:cs="仿宋_GB2312"/>
        </w:rPr>
        <w:t xml:space="preserve">  </w:t>
      </w:r>
      <w:r>
        <w:t>为贯彻落实山东省《推进一流大学和一流学科建设方案》（鲁政发〔</w:t>
      </w:r>
      <w:r>
        <w:rPr>
          <w:rFonts w:ascii="仿宋_GB2312" w:eastAsia="仿宋_GB2312" w:hAnsi="仿宋_GB2312" w:cs="仿宋_GB2312"/>
        </w:rPr>
        <w:t>2016</w:t>
      </w:r>
      <w:r>
        <w:t>〕</w:t>
      </w:r>
      <w:r>
        <w:rPr>
          <w:rFonts w:ascii="仿宋_GB2312" w:eastAsia="仿宋_GB2312" w:hAnsi="仿宋_GB2312" w:cs="仿宋_GB2312"/>
        </w:rPr>
        <w:t>34</w:t>
      </w:r>
      <w:r>
        <w:t>号）和《山东省一流大学和一流学科建设奖补资金管理办法》</w:t>
      </w:r>
      <w:r>
        <w:rPr>
          <w:rFonts w:ascii="仿宋_GB2312" w:eastAsia="仿宋_GB2312" w:hAnsi="仿宋_GB2312" w:cs="仿宋_GB2312"/>
        </w:rPr>
        <w:t>(</w:t>
      </w:r>
      <w:proofErr w:type="gramStart"/>
      <w:r>
        <w:t>鲁财教</w:t>
      </w:r>
      <w:proofErr w:type="gramEnd"/>
      <w:r>
        <w:t>〔</w:t>
      </w:r>
      <w:r>
        <w:rPr>
          <w:rFonts w:ascii="仿宋_GB2312" w:eastAsia="仿宋_GB2312" w:hAnsi="仿宋_GB2312" w:cs="仿宋_GB2312"/>
        </w:rPr>
        <w:t>2016</w:t>
      </w:r>
      <w:r>
        <w:t>〕</w:t>
      </w:r>
      <w:r>
        <w:rPr>
          <w:rFonts w:ascii="仿宋_GB2312" w:eastAsia="仿宋_GB2312" w:hAnsi="仿宋_GB2312" w:cs="仿宋_GB2312"/>
        </w:rPr>
        <w:t>77</w:t>
      </w:r>
      <w:r>
        <w:t>号</w:t>
      </w:r>
      <w:r>
        <w:rPr>
          <w:rFonts w:ascii="仿宋_GB2312" w:eastAsia="仿宋_GB2312" w:hAnsi="仿宋_GB2312" w:cs="仿宋_GB2312"/>
        </w:rPr>
        <w:t>)</w:t>
      </w:r>
      <w:r>
        <w:t>，加强一流学科建设经费管理，制定本办法。</w:t>
      </w:r>
      <w:r>
        <w:rPr>
          <w:rFonts w:ascii="仿宋_GB2312" w:eastAsia="仿宋_GB2312" w:hAnsi="仿宋_GB2312" w:cs="仿宋_GB2312"/>
        </w:rPr>
        <w:t xml:space="preserve"> </w:t>
      </w:r>
    </w:p>
    <w:p w:rsidR="00DD1633" w:rsidRDefault="00DD1633" w:rsidP="00DD1633">
      <w:pPr>
        <w:ind w:left="-15"/>
      </w:pPr>
      <w:r>
        <w:rPr>
          <w:rFonts w:ascii="黑体" w:eastAsia="黑体" w:hAnsi="黑体" w:cs="黑体"/>
        </w:rPr>
        <w:t>第二条</w:t>
      </w:r>
      <w:r>
        <w:rPr>
          <w:rFonts w:ascii="仿宋_GB2312" w:eastAsia="仿宋_GB2312" w:hAnsi="仿宋_GB2312" w:cs="仿宋_GB2312"/>
        </w:rPr>
        <w:t xml:space="preserve">  </w:t>
      </w:r>
      <w:r>
        <w:t>本办法中的一流学科建设经费包括山东省财政拨付的一流学科</w:t>
      </w:r>
      <w:proofErr w:type="gramStart"/>
      <w:r>
        <w:t>建设奖补资金</w:t>
      </w:r>
      <w:proofErr w:type="gramEnd"/>
      <w:r>
        <w:t>、学校自筹资金和其他渠道的经费投入。</w:t>
      </w:r>
      <w:r>
        <w:rPr>
          <w:rFonts w:ascii="仿宋_GB2312" w:eastAsia="仿宋_GB2312" w:hAnsi="仿宋_GB2312" w:cs="仿宋_GB2312"/>
        </w:rPr>
        <w:t xml:space="preserve"> </w:t>
      </w:r>
    </w:p>
    <w:p w:rsidR="00DD1633" w:rsidRDefault="00DD1633" w:rsidP="00C50390">
      <w:pPr>
        <w:spacing w:after="114" w:line="259" w:lineRule="auto"/>
      </w:pPr>
      <w:r>
        <w:rPr>
          <w:rFonts w:ascii="黑体" w:eastAsia="黑体" w:hAnsi="黑体" w:cs="黑体"/>
        </w:rPr>
        <w:t>第三条</w:t>
      </w:r>
      <w:r>
        <w:rPr>
          <w:rFonts w:ascii="仿宋_GB2312" w:eastAsia="仿宋_GB2312" w:hAnsi="仿宋_GB2312" w:cs="仿宋_GB2312"/>
        </w:rPr>
        <w:t xml:space="preserve">  </w:t>
      </w:r>
      <w:r>
        <w:t>一流学科建设实行项目负责</w:t>
      </w:r>
      <w:proofErr w:type="gramStart"/>
      <w:r>
        <w:t>人制</w:t>
      </w:r>
      <w:proofErr w:type="gramEnd"/>
      <w:r>
        <w:t>，一流学科所在（牵头）学院院长为第一责任人，学科带头人为建设学科直接责任人。一流学科所在（牵头）学院成立一流学科管理工作小组，由院长任组长，一流学科的学科带头人为副组长，分管学科建设工作的副院长、教授委员会主任、副主任为小组成员。筹集和管理建设经费，协调落实配套建设经费，审定一流学科建设经费预算、经费使用情况报告等均属于管理工作小组职责范围。</w:t>
      </w:r>
      <w:r>
        <w:rPr>
          <w:rFonts w:ascii="仿宋_GB2312" w:eastAsia="仿宋_GB2312" w:hAnsi="仿宋_GB2312" w:cs="仿宋_GB2312"/>
        </w:rPr>
        <w:t xml:space="preserve"> </w:t>
      </w:r>
    </w:p>
    <w:p w:rsidR="00DD1633" w:rsidRDefault="00DD1633" w:rsidP="00DD1633">
      <w:pPr>
        <w:spacing w:after="157"/>
        <w:ind w:left="-15"/>
      </w:pPr>
      <w:r>
        <w:rPr>
          <w:rFonts w:ascii="黑体" w:eastAsia="黑体" w:hAnsi="黑体" w:cs="黑体"/>
        </w:rPr>
        <w:lastRenderedPageBreak/>
        <w:t>第四条</w:t>
      </w:r>
      <w:r>
        <w:rPr>
          <w:rFonts w:ascii="仿宋_GB2312" w:eastAsia="仿宋_GB2312" w:hAnsi="仿宋_GB2312" w:cs="仿宋_GB2312"/>
        </w:rPr>
        <w:t xml:space="preserve">  </w:t>
      </w:r>
      <w:r>
        <w:t>一流学科建设经费由学校财务部门单独设置账号，实行专款专用，单独核算，并对建设经费的使用实施监督。任何部门和单位不得挤占、截留、挪用和虚报。</w:t>
      </w:r>
      <w:r>
        <w:rPr>
          <w:rFonts w:ascii="仿宋_GB2312" w:eastAsia="仿宋_GB2312" w:hAnsi="仿宋_GB2312" w:cs="仿宋_GB2312"/>
        </w:rPr>
        <w:t xml:space="preserve"> </w:t>
      </w:r>
    </w:p>
    <w:p w:rsidR="00DD1633" w:rsidRDefault="00DD1633" w:rsidP="00DD1633">
      <w:pPr>
        <w:pStyle w:val="2"/>
        <w:ind w:left="42" w:right="3"/>
      </w:pPr>
      <w:r>
        <w:t xml:space="preserve">第二章  经费预算 </w:t>
      </w:r>
    </w:p>
    <w:p w:rsidR="00DD1633" w:rsidRDefault="00DD1633" w:rsidP="00DD1633">
      <w:pPr>
        <w:ind w:left="-15"/>
      </w:pPr>
      <w:r>
        <w:rPr>
          <w:rFonts w:ascii="黑体" w:eastAsia="黑体" w:hAnsi="黑体" w:cs="黑体"/>
        </w:rPr>
        <w:t>第五条</w:t>
      </w:r>
      <w:r>
        <w:rPr>
          <w:rFonts w:ascii="仿宋_GB2312" w:eastAsia="仿宋_GB2312" w:hAnsi="仿宋_GB2312" w:cs="仿宋_GB2312"/>
        </w:rPr>
        <w:t xml:space="preserve">  </w:t>
      </w:r>
      <w:r>
        <w:t>每年学校组织申报下年度预算建议时，由一流学科所在（牵头）学院根据《山东省一流学科建设目标任务书》中</w:t>
      </w:r>
    </w:p>
    <w:p w:rsidR="00DD1633" w:rsidRDefault="00DD1633" w:rsidP="00DD1633">
      <w:pPr>
        <w:ind w:left="-15"/>
      </w:pPr>
      <w:r>
        <w:t>“经费使用预算”和一流学科发展规划，编制年度支出预算，经学科主管部门审核后报相关专项分配牵头部门，由牵头部门报计划财务处纳入预算草案。</w:t>
      </w:r>
      <w:r>
        <w:rPr>
          <w:rFonts w:ascii="仿宋_GB2312" w:eastAsia="仿宋_GB2312" w:hAnsi="仿宋_GB2312" w:cs="仿宋_GB2312"/>
        </w:rPr>
        <w:t xml:space="preserve"> </w:t>
      </w:r>
    </w:p>
    <w:p w:rsidR="00DD1633" w:rsidRDefault="00DD1633" w:rsidP="00DD1633">
      <w:pPr>
        <w:ind w:left="-15"/>
      </w:pPr>
      <w:r>
        <w:rPr>
          <w:rFonts w:ascii="黑体" w:eastAsia="黑体" w:hAnsi="黑体" w:cs="黑体"/>
        </w:rPr>
        <w:t>第六条</w:t>
      </w:r>
      <w:r>
        <w:rPr>
          <w:rFonts w:ascii="仿宋_GB2312" w:eastAsia="仿宋_GB2312" w:hAnsi="仿宋_GB2312" w:cs="仿宋_GB2312"/>
        </w:rPr>
        <w:t xml:space="preserve">  </w:t>
      </w:r>
      <w:r>
        <w:t>一流学科建设经费原则上应于当年形成支出，如有结余结转，要严格按照山东省财政厅有关财政拨款结余结转资金管理规定，纳入下一年度预算统筹使用。</w:t>
      </w:r>
      <w:r>
        <w:rPr>
          <w:rFonts w:ascii="仿宋_GB2312" w:eastAsia="仿宋_GB2312" w:hAnsi="仿宋_GB2312" w:cs="仿宋_GB2312"/>
        </w:rPr>
        <w:t xml:space="preserve"> </w:t>
      </w:r>
    </w:p>
    <w:p w:rsidR="00DD1633" w:rsidRDefault="00DD1633" w:rsidP="00DD1633">
      <w:pPr>
        <w:pStyle w:val="2"/>
        <w:ind w:left="42" w:right="3"/>
      </w:pPr>
      <w:r>
        <w:t xml:space="preserve">第三章  经费支出 </w:t>
      </w:r>
    </w:p>
    <w:p w:rsidR="00DD1633" w:rsidRDefault="00DD1633" w:rsidP="00DD1633">
      <w:pPr>
        <w:ind w:left="-15"/>
      </w:pPr>
      <w:r>
        <w:rPr>
          <w:rFonts w:ascii="黑体" w:eastAsia="黑体" w:hAnsi="黑体" w:cs="黑体"/>
        </w:rPr>
        <w:t>第七条</w:t>
      </w:r>
      <w:r>
        <w:rPr>
          <w:rFonts w:ascii="仿宋_GB2312" w:eastAsia="仿宋_GB2312" w:hAnsi="仿宋_GB2312" w:cs="仿宋_GB2312"/>
        </w:rPr>
        <w:t xml:space="preserve">  </w:t>
      </w:r>
      <w:r>
        <w:t>一流学科建设经费用于一流学科的学科平台条件建设、学术梯队建设、科研活动、人才培养、学术交流合作和日常管理等。支出范围如下：</w:t>
      </w:r>
      <w:r>
        <w:rPr>
          <w:rFonts w:ascii="仿宋_GB2312" w:eastAsia="仿宋_GB2312" w:hAnsi="仿宋_GB2312" w:cs="仿宋_GB2312"/>
        </w:rPr>
        <w:t xml:space="preserve"> </w:t>
      </w:r>
    </w:p>
    <w:p w:rsidR="00DD1633" w:rsidRDefault="00DD1633" w:rsidP="00DD1633">
      <w:pPr>
        <w:widowControl/>
        <w:numPr>
          <w:ilvl w:val="0"/>
          <w:numId w:val="1"/>
        </w:numPr>
        <w:spacing w:after="166" w:line="259" w:lineRule="auto"/>
        <w:ind w:hanging="960"/>
        <w:jc w:val="left"/>
      </w:pPr>
      <w:r>
        <w:t>学科平台条件建设费</w:t>
      </w:r>
      <w:r>
        <w:rPr>
          <w:rFonts w:ascii="仿宋_GB2312" w:eastAsia="仿宋_GB2312" w:hAnsi="仿宋_GB2312" w:cs="仿宋_GB2312"/>
        </w:rPr>
        <w:t xml:space="preserve"> </w:t>
      </w:r>
    </w:p>
    <w:p w:rsidR="00DD1633" w:rsidRDefault="00DD1633" w:rsidP="00DD1633">
      <w:pPr>
        <w:ind w:left="-15"/>
      </w:pPr>
      <w:r>
        <w:t>用于学科建设所必须的实验室、科研教学等学科平台建设、升级改造等，教学科研仪器设备的购置和维护，图书资料、数据库、信息化设备购置、软件开发与购置等方面的支出。</w:t>
      </w:r>
      <w:r>
        <w:rPr>
          <w:rFonts w:ascii="仿宋_GB2312" w:eastAsia="仿宋_GB2312" w:hAnsi="仿宋_GB2312" w:cs="仿宋_GB2312"/>
        </w:rPr>
        <w:t xml:space="preserve"> </w:t>
      </w:r>
    </w:p>
    <w:p w:rsidR="00DD1633" w:rsidRDefault="00DD1633" w:rsidP="00DD1633">
      <w:pPr>
        <w:widowControl/>
        <w:numPr>
          <w:ilvl w:val="0"/>
          <w:numId w:val="1"/>
        </w:numPr>
        <w:spacing w:after="168" w:line="259" w:lineRule="auto"/>
        <w:ind w:hanging="960"/>
        <w:jc w:val="left"/>
      </w:pPr>
      <w:r>
        <w:t>学科梯队建设费</w:t>
      </w:r>
      <w:r>
        <w:rPr>
          <w:rFonts w:ascii="仿宋_GB2312" w:eastAsia="仿宋_GB2312" w:hAnsi="仿宋_GB2312" w:cs="仿宋_GB2312"/>
        </w:rPr>
        <w:t xml:space="preserve"> </w:t>
      </w:r>
    </w:p>
    <w:p w:rsidR="00DD1633" w:rsidRDefault="00DD1633" w:rsidP="00DD1633">
      <w:pPr>
        <w:ind w:left="-15"/>
      </w:pPr>
      <w:r>
        <w:t>用于国内外领军人物和创新团队人才引进、学术带头人培养及青年学术骨干的培养培训等方面的支出。高水平学科领军人才、创新团队的培养与引进所需要的科研启动费，骨干教师国内外访学、进修费，新引进青年博士的能力提升等。</w:t>
      </w:r>
      <w:r>
        <w:rPr>
          <w:rFonts w:ascii="仿宋_GB2312" w:eastAsia="仿宋_GB2312" w:hAnsi="仿宋_GB2312" w:cs="仿宋_GB2312"/>
        </w:rPr>
        <w:t xml:space="preserve"> </w:t>
      </w:r>
    </w:p>
    <w:p w:rsidR="00DD1633" w:rsidRDefault="00DD1633" w:rsidP="00DD1633">
      <w:pPr>
        <w:widowControl/>
        <w:numPr>
          <w:ilvl w:val="0"/>
          <w:numId w:val="1"/>
        </w:numPr>
        <w:spacing w:after="166" w:line="259" w:lineRule="auto"/>
        <w:ind w:hanging="960"/>
        <w:jc w:val="left"/>
      </w:pPr>
      <w:r>
        <w:t>科研活动费</w:t>
      </w:r>
      <w:r>
        <w:rPr>
          <w:rFonts w:ascii="仿宋_GB2312" w:eastAsia="仿宋_GB2312" w:hAnsi="仿宋_GB2312" w:cs="仿宋_GB2312"/>
        </w:rPr>
        <w:t xml:space="preserve"> </w:t>
      </w:r>
    </w:p>
    <w:p w:rsidR="00DD1633" w:rsidRDefault="00DD1633" w:rsidP="00DD1633">
      <w:pPr>
        <w:ind w:left="-15"/>
      </w:pPr>
      <w:r>
        <w:t>用于提升学科建设水平而开展的科学研究、成果出版发表及推广应用等方面的支出，包括专用材料费、加工制作费、测试费、实验场所租赁费、差旅费、会议费、出版</w:t>
      </w:r>
      <w:r>
        <w:rPr>
          <w:rFonts w:ascii="仿宋_GB2312" w:eastAsia="仿宋_GB2312" w:hAnsi="仿宋_GB2312" w:cs="仿宋_GB2312"/>
        </w:rPr>
        <w:t>/</w:t>
      </w:r>
      <w:r>
        <w:t>文献</w:t>
      </w:r>
      <w:r>
        <w:rPr>
          <w:rFonts w:ascii="仿宋_GB2312" w:eastAsia="仿宋_GB2312" w:hAnsi="仿宋_GB2312" w:cs="仿宋_GB2312"/>
        </w:rPr>
        <w:t>/</w:t>
      </w:r>
      <w:r>
        <w:t>信息传播</w:t>
      </w:r>
      <w:r>
        <w:rPr>
          <w:rFonts w:ascii="仿宋_GB2312" w:eastAsia="仿宋_GB2312" w:hAnsi="仿宋_GB2312" w:cs="仿宋_GB2312"/>
        </w:rPr>
        <w:t xml:space="preserve">/ </w:t>
      </w:r>
      <w:r>
        <w:t>知识产权事务费、专家咨询费；科研成果推广和转化过程中必要的费用。</w:t>
      </w:r>
      <w:r>
        <w:rPr>
          <w:rFonts w:ascii="仿宋_GB2312" w:eastAsia="仿宋_GB2312" w:hAnsi="仿宋_GB2312" w:cs="仿宋_GB2312"/>
        </w:rPr>
        <w:t xml:space="preserve"> </w:t>
      </w:r>
    </w:p>
    <w:p w:rsidR="00DD1633" w:rsidRDefault="00DD1633" w:rsidP="00DD1633">
      <w:pPr>
        <w:widowControl/>
        <w:numPr>
          <w:ilvl w:val="0"/>
          <w:numId w:val="1"/>
        </w:numPr>
        <w:spacing w:after="166" w:line="259" w:lineRule="auto"/>
        <w:ind w:hanging="960"/>
        <w:jc w:val="left"/>
      </w:pPr>
      <w:r>
        <w:t>人才培养费</w:t>
      </w:r>
      <w:r>
        <w:rPr>
          <w:rFonts w:ascii="仿宋_GB2312" w:eastAsia="仿宋_GB2312" w:hAnsi="仿宋_GB2312" w:cs="仿宋_GB2312"/>
        </w:rPr>
        <w:t xml:space="preserve"> </w:t>
      </w:r>
    </w:p>
    <w:p w:rsidR="00DD1633" w:rsidRDefault="00DD1633" w:rsidP="00DD1633">
      <w:pPr>
        <w:ind w:left="-15"/>
      </w:pPr>
      <w:r>
        <w:t>用于提升学生特别是研究生的创新研究意识、研究能力等方面的支出，包括学生参加各种科技竞赛活动中的模型制作费、注册费、差旅费，学生赴国内外高等院校、科研院所、企业进行学习实践费和学术交流费。</w:t>
      </w:r>
      <w:r>
        <w:rPr>
          <w:rFonts w:ascii="仿宋_GB2312" w:eastAsia="仿宋_GB2312" w:hAnsi="仿宋_GB2312" w:cs="仿宋_GB2312"/>
        </w:rPr>
        <w:t xml:space="preserve"> </w:t>
      </w:r>
    </w:p>
    <w:p w:rsidR="00DD1633" w:rsidRDefault="00DD1633" w:rsidP="00DD1633">
      <w:pPr>
        <w:widowControl/>
        <w:numPr>
          <w:ilvl w:val="0"/>
          <w:numId w:val="1"/>
        </w:numPr>
        <w:spacing w:after="166" w:line="259" w:lineRule="auto"/>
        <w:ind w:hanging="960"/>
        <w:jc w:val="left"/>
      </w:pPr>
      <w:r>
        <w:t>学术交流合作费</w:t>
      </w:r>
      <w:r>
        <w:rPr>
          <w:rFonts w:ascii="仿宋_GB2312" w:eastAsia="仿宋_GB2312" w:hAnsi="仿宋_GB2312" w:cs="仿宋_GB2312"/>
        </w:rPr>
        <w:t xml:space="preserve"> </w:t>
      </w:r>
    </w:p>
    <w:p w:rsidR="00DD1633" w:rsidRDefault="00DD1633" w:rsidP="00DD1633">
      <w:pPr>
        <w:ind w:left="-15"/>
      </w:pPr>
      <w:r>
        <w:t>包括主办、协办和参加高层次国际性和全国性学术会议、研究生学术论坛；邀请国内外知名学者讲学，教师赴海（境）外合作研究、访学、讲学等学术交流活动；外籍人员来我校合作研究、留学讲学、学术交流，与海（境）外大学、科研院所、企业等联合承担科研项目、联合指导研究生等相关支出。</w:t>
      </w:r>
      <w:r>
        <w:rPr>
          <w:rFonts w:ascii="仿宋_GB2312" w:eastAsia="仿宋_GB2312" w:hAnsi="仿宋_GB2312" w:cs="仿宋_GB2312"/>
        </w:rPr>
        <w:t xml:space="preserve"> </w:t>
      </w:r>
    </w:p>
    <w:p w:rsidR="00DD1633" w:rsidRDefault="00DD1633" w:rsidP="00DD1633">
      <w:pPr>
        <w:widowControl/>
        <w:numPr>
          <w:ilvl w:val="0"/>
          <w:numId w:val="1"/>
        </w:numPr>
        <w:spacing w:after="166" w:line="259" w:lineRule="auto"/>
        <w:ind w:hanging="960"/>
        <w:jc w:val="left"/>
      </w:pPr>
      <w:r>
        <w:lastRenderedPageBreak/>
        <w:t>日常运行费</w:t>
      </w:r>
      <w:r>
        <w:rPr>
          <w:rFonts w:ascii="仿宋_GB2312" w:eastAsia="仿宋_GB2312" w:hAnsi="仿宋_GB2312" w:cs="仿宋_GB2312"/>
        </w:rPr>
        <w:t xml:space="preserve"> </w:t>
      </w:r>
    </w:p>
    <w:p w:rsidR="00DD1633" w:rsidRDefault="00DD1633" w:rsidP="00DD1633">
      <w:pPr>
        <w:ind w:left="-15"/>
      </w:pPr>
      <w:r>
        <w:t>用于开展上述与一流学科建设有关工作所发生的日常办公费、印刷费、实验室管理和维修费、差旅费、岗位补助、临时聘用人员的劳务费。</w:t>
      </w:r>
      <w:r>
        <w:rPr>
          <w:rFonts w:ascii="仿宋_GB2312" w:eastAsia="仿宋_GB2312" w:hAnsi="仿宋_GB2312" w:cs="仿宋_GB2312"/>
        </w:rPr>
        <w:t xml:space="preserve"> </w:t>
      </w:r>
    </w:p>
    <w:p w:rsidR="00DD1633" w:rsidRDefault="00DD1633" w:rsidP="00DD1633">
      <w:pPr>
        <w:ind w:left="-15"/>
      </w:pPr>
      <w:r>
        <w:rPr>
          <w:rFonts w:ascii="黑体" w:eastAsia="黑体" w:hAnsi="黑体" w:cs="黑体"/>
        </w:rPr>
        <w:t>第八条</w:t>
      </w:r>
      <w:r>
        <w:rPr>
          <w:rFonts w:ascii="仿宋_GB2312" w:eastAsia="仿宋_GB2312" w:hAnsi="仿宋_GB2312" w:cs="仿宋_GB2312"/>
        </w:rPr>
        <w:t xml:space="preserve">  </w:t>
      </w:r>
      <w:r>
        <w:t>一流学科建设经费支出由一流学科带头人、一流学科所在（牵头）学院院长共同签字。如一流学科带头人和院长为</w:t>
      </w:r>
    </w:p>
    <w:p w:rsidR="00DD1633" w:rsidRDefault="00DD1633" w:rsidP="00DD1633">
      <w:pPr>
        <w:spacing w:after="322" w:line="259" w:lineRule="auto"/>
        <w:ind w:left="-15"/>
      </w:pPr>
      <w:r>
        <w:t>同一人，则由一流学科所在（牵头）学院党总支书记负责签字。</w:t>
      </w:r>
      <w:r>
        <w:rPr>
          <w:rFonts w:ascii="仿宋_GB2312" w:eastAsia="仿宋_GB2312" w:hAnsi="仿宋_GB2312" w:cs="仿宋_GB2312"/>
        </w:rPr>
        <w:t xml:space="preserve"> </w:t>
      </w:r>
    </w:p>
    <w:p w:rsidR="00DD1633" w:rsidRDefault="00DD1633" w:rsidP="00DD1633">
      <w:pPr>
        <w:pStyle w:val="2"/>
        <w:ind w:left="42" w:right="3"/>
      </w:pPr>
      <w:r>
        <w:t xml:space="preserve">第四章  监督与管理 </w:t>
      </w:r>
    </w:p>
    <w:p w:rsidR="00DD1633" w:rsidRDefault="00DD1633" w:rsidP="00DD1633">
      <w:pPr>
        <w:ind w:left="-15"/>
      </w:pPr>
      <w:r>
        <w:rPr>
          <w:rFonts w:ascii="黑体" w:eastAsia="黑体" w:hAnsi="黑体" w:cs="黑体"/>
        </w:rPr>
        <w:t>第九条</w:t>
      </w:r>
      <w:r>
        <w:rPr>
          <w:rFonts w:ascii="仿宋_GB2312" w:eastAsia="仿宋_GB2312" w:hAnsi="仿宋_GB2312" w:cs="仿宋_GB2312"/>
        </w:rPr>
        <w:t xml:space="preserve">  </w:t>
      </w:r>
      <w:r>
        <w:t>一流学科建设经费使用要严格按国家、山东省和学校有关财务制度办理，并接受财务、审计部门监督。</w:t>
      </w:r>
      <w:r>
        <w:rPr>
          <w:rFonts w:ascii="仿宋_GB2312" w:eastAsia="仿宋_GB2312" w:hAnsi="仿宋_GB2312" w:cs="仿宋_GB2312"/>
        </w:rPr>
        <w:t xml:space="preserve"> </w:t>
      </w:r>
    </w:p>
    <w:p w:rsidR="00DD1633" w:rsidRDefault="00DD1633" w:rsidP="00DD1633">
      <w:pPr>
        <w:ind w:left="-15"/>
      </w:pPr>
      <w:r>
        <w:t>第</w:t>
      </w:r>
      <w:r>
        <w:rPr>
          <w:rFonts w:ascii="黑体" w:eastAsia="黑体" w:hAnsi="黑体" w:cs="黑体"/>
        </w:rPr>
        <w:t>十条</w:t>
      </w:r>
      <w:r>
        <w:rPr>
          <w:rFonts w:ascii="仿宋_GB2312" w:eastAsia="仿宋_GB2312" w:hAnsi="仿宋_GB2312" w:cs="仿宋_GB2312"/>
        </w:rPr>
        <w:t xml:space="preserve">  </w:t>
      </w:r>
      <w:r>
        <w:t>对应纳入政府采购范围的货物、工程和服务，应当按照《中华人民共和国政府采购法》等有关法律制度规定，完善招投标机制和相应的责任机制，严格执行政府采购程序。</w:t>
      </w:r>
      <w:r>
        <w:rPr>
          <w:rFonts w:ascii="仿宋_GB2312" w:eastAsia="仿宋_GB2312" w:hAnsi="仿宋_GB2312" w:cs="仿宋_GB2312"/>
        </w:rPr>
        <w:t xml:space="preserve"> </w:t>
      </w:r>
    </w:p>
    <w:p w:rsidR="00DD1633" w:rsidRDefault="00DD1633" w:rsidP="00C50390">
      <w:pPr>
        <w:ind w:right="80"/>
      </w:pPr>
      <w:r>
        <w:rPr>
          <w:rFonts w:ascii="黑体" w:eastAsia="黑体" w:hAnsi="黑体" w:cs="黑体"/>
        </w:rPr>
        <w:t>第十一条</w:t>
      </w:r>
      <w:r>
        <w:rPr>
          <w:rFonts w:ascii="仿宋_GB2312" w:eastAsia="仿宋_GB2312" w:hAnsi="仿宋_GB2312" w:cs="仿宋_GB2312"/>
        </w:rPr>
        <w:t xml:space="preserve">  </w:t>
      </w:r>
      <w:r>
        <w:t>凡使用一流学科建设经费形成的固定资产，均属于国有资产，应及时纳入学校资产进行统一管理，认真维护，共享共用。</w:t>
      </w:r>
      <w:r>
        <w:rPr>
          <w:rFonts w:ascii="仿宋_GB2312" w:eastAsia="仿宋_GB2312" w:hAnsi="仿宋_GB2312" w:cs="仿宋_GB2312"/>
        </w:rPr>
        <w:t xml:space="preserve"> </w:t>
      </w:r>
    </w:p>
    <w:p w:rsidR="00DD1633" w:rsidRDefault="00DD1633" w:rsidP="00DD1633">
      <w:pPr>
        <w:ind w:left="-15"/>
      </w:pPr>
      <w:r>
        <w:rPr>
          <w:rFonts w:ascii="黑体" w:eastAsia="黑体" w:hAnsi="黑体" w:cs="黑体"/>
        </w:rPr>
        <w:t>第十二条</w:t>
      </w:r>
      <w:r>
        <w:rPr>
          <w:rFonts w:ascii="仿宋_GB2312" w:eastAsia="仿宋_GB2312" w:hAnsi="仿宋_GB2312" w:cs="仿宋_GB2312"/>
        </w:rPr>
        <w:t xml:space="preserve">  </w:t>
      </w:r>
      <w:r>
        <w:t>一流学科所在（牵头）学院应于每年年底前以书面形式向学校提交一流学科建设经费预算执行、资金使用效益、资金管理等情况报告，经学校审核后以正式文件形式报送省财政厅、省教育厅。</w:t>
      </w:r>
      <w:r>
        <w:rPr>
          <w:rFonts w:ascii="仿宋_GB2312" w:eastAsia="仿宋_GB2312" w:hAnsi="仿宋_GB2312" w:cs="仿宋_GB2312"/>
        </w:rPr>
        <w:t xml:space="preserve"> </w:t>
      </w:r>
    </w:p>
    <w:p w:rsidR="00DD1633" w:rsidRDefault="00DD1633" w:rsidP="00DD1633">
      <w:pPr>
        <w:ind w:left="-15"/>
      </w:pPr>
      <w:r>
        <w:rPr>
          <w:rFonts w:ascii="黑体" w:eastAsia="黑体" w:hAnsi="黑体" w:cs="黑体"/>
        </w:rPr>
        <w:t>第十三条</w:t>
      </w:r>
      <w:r>
        <w:rPr>
          <w:rFonts w:ascii="仿宋_GB2312" w:eastAsia="仿宋_GB2312" w:hAnsi="仿宋_GB2312" w:cs="仿宋_GB2312"/>
        </w:rPr>
        <w:t xml:space="preserve">  </w:t>
      </w:r>
      <w:r>
        <w:t>对一流学科建设经费执行效果不佳或无法实现预期目标的，责成学科及学院整改，对整改不力的，视情节轻重予以减拨、停拨或扣回建设经费。对在上级主管部门组织的绩效评价中效果不佳、评估考核中不合格的，将严肃追究相关责任人的责任。对违反经费使用规定，弄虚作假、谎报数据等，将按照</w:t>
      </w:r>
    </w:p>
    <w:p w:rsidR="00DD1633" w:rsidRDefault="00DD1633" w:rsidP="00DD1633">
      <w:pPr>
        <w:spacing w:after="157"/>
        <w:ind w:left="-15"/>
      </w:pPr>
      <w:r>
        <w:t>《预算法》《财政违法行为处罚处分条例》等有关规定给予严肃处理。</w:t>
      </w:r>
      <w:r>
        <w:rPr>
          <w:rFonts w:ascii="仿宋_GB2312" w:eastAsia="仿宋_GB2312" w:hAnsi="仿宋_GB2312" w:cs="仿宋_GB2312"/>
        </w:rPr>
        <w:t xml:space="preserve"> </w:t>
      </w:r>
    </w:p>
    <w:p w:rsidR="00DD1633" w:rsidRDefault="00DD1633" w:rsidP="00DD1633">
      <w:pPr>
        <w:pStyle w:val="2"/>
        <w:ind w:left="42" w:right="0"/>
      </w:pPr>
      <w:r>
        <w:t xml:space="preserve">第五章  附  则 </w:t>
      </w:r>
    </w:p>
    <w:p w:rsidR="00DD1633" w:rsidRDefault="00DD1633" w:rsidP="00C50390">
      <w:pPr>
        <w:spacing w:after="114" w:line="259" w:lineRule="auto"/>
        <w:ind w:right="638"/>
      </w:pPr>
      <w:r>
        <w:rPr>
          <w:rFonts w:ascii="黑体" w:eastAsia="黑体" w:hAnsi="黑体" w:cs="黑体"/>
        </w:rPr>
        <w:t>第十四条</w:t>
      </w:r>
      <w:r>
        <w:rPr>
          <w:rFonts w:ascii="仿宋_GB2312" w:eastAsia="仿宋_GB2312" w:hAnsi="仿宋_GB2312" w:cs="仿宋_GB2312"/>
        </w:rPr>
        <w:t xml:space="preserve">  </w:t>
      </w:r>
      <w:r>
        <w:t>各建设单位可根据本办法制订实施细则。</w:t>
      </w:r>
      <w:r>
        <w:rPr>
          <w:rFonts w:ascii="仿宋_GB2312" w:eastAsia="仿宋_GB2312" w:hAnsi="仿宋_GB2312" w:cs="仿宋_GB2312"/>
        </w:rPr>
        <w:t xml:space="preserve"> </w:t>
      </w:r>
    </w:p>
    <w:p w:rsidR="00DD1633" w:rsidRDefault="00DD1633" w:rsidP="00C50390">
      <w:pPr>
        <w:spacing w:line="259" w:lineRule="auto"/>
      </w:pPr>
      <w:r>
        <w:rPr>
          <w:rFonts w:ascii="黑体" w:eastAsia="黑体" w:hAnsi="黑体" w:cs="黑体"/>
        </w:rPr>
        <w:t>第十五条</w:t>
      </w:r>
      <w:r>
        <w:rPr>
          <w:rFonts w:ascii="SimSun-PUA" w:eastAsia="SimSun-PUA" w:hAnsi="SimSun-PUA" w:cs="SimSun-PUA"/>
        </w:rPr>
        <w:t xml:space="preserve"> </w:t>
      </w:r>
      <w:r>
        <w:rPr>
          <w:rFonts w:ascii="仿宋_GB2312" w:eastAsia="仿宋_GB2312" w:hAnsi="仿宋_GB2312" w:cs="仿宋_GB2312"/>
        </w:rPr>
        <w:t xml:space="preserve"> </w:t>
      </w:r>
      <w:r>
        <w:t>本办法自公布之日起施行。</w:t>
      </w:r>
      <w:r>
        <w:rPr>
          <w:rFonts w:ascii="仿宋_GB2312" w:eastAsia="仿宋_GB2312" w:hAnsi="仿宋_GB2312" w:cs="仿宋_GB2312"/>
        </w:rPr>
        <w:t xml:space="preserve"> </w:t>
      </w:r>
    </w:p>
    <w:p w:rsidR="00DD1633" w:rsidRDefault="00DD1633"/>
    <w:p w:rsidR="00CD2BA6" w:rsidRDefault="00CD2BA6"/>
    <w:p w:rsidR="00CD2BA6" w:rsidRDefault="00CD2BA6"/>
    <w:p w:rsidR="00CD2BA6" w:rsidRDefault="00CD2BA6"/>
    <w:p w:rsidR="00CD2BA6" w:rsidRDefault="00CD2BA6"/>
    <w:p w:rsidR="00CD2BA6" w:rsidRDefault="00CD2BA6"/>
    <w:p w:rsidR="00CD2BA6" w:rsidRDefault="00CD2BA6"/>
    <w:p w:rsidR="00CD2BA6" w:rsidRDefault="00CD2BA6"/>
    <w:p w:rsidR="00CD2BA6" w:rsidRDefault="00CD2BA6"/>
    <w:p w:rsidR="00CD2BA6" w:rsidRDefault="00CD2BA6"/>
    <w:p w:rsidR="00CD2BA6" w:rsidRDefault="00CD2BA6"/>
    <w:p w:rsidR="00CD2BA6" w:rsidRDefault="00CD2BA6"/>
    <w:p w:rsidR="00CD2BA6" w:rsidRDefault="00CD2BA6"/>
    <w:p w:rsidR="00CD2BA6" w:rsidRDefault="00CD2BA6">
      <w:r>
        <w:rPr>
          <w:noProof/>
        </w:rPr>
        <w:lastRenderedPageBreak/>
        <w:drawing>
          <wp:inline distT="0" distB="0" distL="0" distR="0" wp14:anchorId="20C834A6" wp14:editId="239EB8A1">
            <wp:extent cx="5274310" cy="51631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274310" cy="5163185"/>
                    </a:xfrm>
                    <a:prstGeom prst="rect">
                      <a:avLst/>
                    </a:prstGeom>
                  </pic:spPr>
                </pic:pic>
              </a:graphicData>
            </a:graphic>
          </wp:inline>
        </w:drawing>
      </w:r>
    </w:p>
    <w:p w:rsidR="00CD2BA6" w:rsidRDefault="00CD2BA6">
      <w:pPr>
        <w:rPr>
          <w:rFonts w:ascii="仿宋" w:eastAsia="仿宋" w:hAnsi="仿宋"/>
          <w:sz w:val="32"/>
          <w:szCs w:val="32"/>
        </w:rPr>
      </w:pPr>
      <w:r w:rsidRPr="00CD2BA6">
        <w:rPr>
          <w:rFonts w:ascii="仿宋" w:eastAsia="仿宋" w:hAnsi="仿宋" w:hint="eastAsia"/>
          <w:sz w:val="32"/>
          <w:szCs w:val="32"/>
        </w:rPr>
        <w:t>备注：高层次人才工程用于“双一流”建设中的人才建设部分，“双一流”建设基金用于“双一流”建设中的仪器设备等条件建设部分。上年结转2900万元+1000万元+3600万元=7500万元。</w:t>
      </w:r>
    </w:p>
    <w:p w:rsidR="00CD2BA6" w:rsidRPr="00CD2BA6" w:rsidRDefault="00CD2BA6">
      <w:pPr>
        <w:rPr>
          <w:rFonts w:ascii="仿宋" w:eastAsia="仿宋" w:hAnsi="仿宋" w:hint="eastAsia"/>
          <w:sz w:val="32"/>
          <w:szCs w:val="32"/>
        </w:rPr>
      </w:pPr>
      <w:bookmarkStart w:id="0" w:name="_GoBack"/>
      <w:r>
        <w:rPr>
          <w:noProof/>
        </w:rPr>
        <w:lastRenderedPageBreak/>
        <w:drawing>
          <wp:inline distT="0" distB="0" distL="0" distR="0" wp14:anchorId="3ACB8A1A" wp14:editId="56998582">
            <wp:extent cx="5514975" cy="20337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523782" cy="2037003"/>
                    </a:xfrm>
                    <a:prstGeom prst="rect">
                      <a:avLst/>
                    </a:prstGeom>
                  </pic:spPr>
                </pic:pic>
              </a:graphicData>
            </a:graphic>
          </wp:inline>
        </w:drawing>
      </w:r>
      <w:bookmarkEnd w:id="0"/>
    </w:p>
    <w:sectPr w:rsidR="00CD2BA6" w:rsidRPr="00CD2BA6" w:rsidSect="00806DE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仿宋_GB2312">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SimSun-PUA">
    <w:altName w:val="Times New Roman"/>
    <w:panose1 w:val="00000000000000000000"/>
    <w:charset w:val="00"/>
    <w:family w:val="roman"/>
    <w:notTrueType/>
    <w:pitch w:val="default"/>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42187"/>
    <w:multiLevelType w:val="hybridMultilevel"/>
    <w:tmpl w:val="E548AE52"/>
    <w:lvl w:ilvl="0" w:tplc="F2347308">
      <w:start w:val="1"/>
      <w:numFmt w:val="ideographDigital"/>
      <w:lvlText w:val="（%1）"/>
      <w:lvlJc w:val="left"/>
      <w:pPr>
        <w:ind w:left="1601"/>
      </w:pPr>
      <w:rPr>
        <w:rFonts w:ascii="仿宋_GB2312" w:eastAsia="仿宋_GB2312" w:hAnsi="仿宋_GB2312" w:cs="仿宋_GB2312"/>
        <w:b w:val="0"/>
        <w:i w:val="0"/>
        <w:strike w:val="0"/>
        <w:dstrike w:val="0"/>
        <w:color w:val="000000"/>
        <w:sz w:val="32"/>
        <w:szCs w:val="32"/>
        <w:u w:val="none" w:color="000000"/>
        <w:bdr w:val="none" w:sz="0" w:space="0" w:color="auto"/>
        <w:shd w:val="clear" w:color="auto" w:fill="auto"/>
        <w:vertAlign w:val="baseline"/>
      </w:rPr>
    </w:lvl>
    <w:lvl w:ilvl="1" w:tplc="5F780DF8">
      <w:start w:val="1"/>
      <w:numFmt w:val="lowerLetter"/>
      <w:lvlText w:val="%2"/>
      <w:lvlJc w:val="left"/>
      <w:pPr>
        <w:ind w:left="1721"/>
      </w:pPr>
      <w:rPr>
        <w:rFonts w:ascii="仿宋_GB2312" w:eastAsia="仿宋_GB2312" w:hAnsi="仿宋_GB2312" w:cs="仿宋_GB2312"/>
        <w:b w:val="0"/>
        <w:i w:val="0"/>
        <w:strike w:val="0"/>
        <w:dstrike w:val="0"/>
        <w:color w:val="000000"/>
        <w:sz w:val="32"/>
        <w:szCs w:val="32"/>
        <w:u w:val="none" w:color="000000"/>
        <w:bdr w:val="none" w:sz="0" w:space="0" w:color="auto"/>
        <w:shd w:val="clear" w:color="auto" w:fill="auto"/>
        <w:vertAlign w:val="baseline"/>
      </w:rPr>
    </w:lvl>
    <w:lvl w:ilvl="2" w:tplc="4D98252A">
      <w:start w:val="1"/>
      <w:numFmt w:val="lowerRoman"/>
      <w:lvlText w:val="%3"/>
      <w:lvlJc w:val="left"/>
      <w:pPr>
        <w:ind w:left="2441"/>
      </w:pPr>
      <w:rPr>
        <w:rFonts w:ascii="仿宋_GB2312" w:eastAsia="仿宋_GB2312" w:hAnsi="仿宋_GB2312" w:cs="仿宋_GB2312"/>
        <w:b w:val="0"/>
        <w:i w:val="0"/>
        <w:strike w:val="0"/>
        <w:dstrike w:val="0"/>
        <w:color w:val="000000"/>
        <w:sz w:val="32"/>
        <w:szCs w:val="32"/>
        <w:u w:val="none" w:color="000000"/>
        <w:bdr w:val="none" w:sz="0" w:space="0" w:color="auto"/>
        <w:shd w:val="clear" w:color="auto" w:fill="auto"/>
        <w:vertAlign w:val="baseline"/>
      </w:rPr>
    </w:lvl>
    <w:lvl w:ilvl="3" w:tplc="1D34ACFA">
      <w:start w:val="1"/>
      <w:numFmt w:val="decimal"/>
      <w:lvlText w:val="%4"/>
      <w:lvlJc w:val="left"/>
      <w:pPr>
        <w:ind w:left="3161"/>
      </w:pPr>
      <w:rPr>
        <w:rFonts w:ascii="仿宋_GB2312" w:eastAsia="仿宋_GB2312" w:hAnsi="仿宋_GB2312" w:cs="仿宋_GB2312"/>
        <w:b w:val="0"/>
        <w:i w:val="0"/>
        <w:strike w:val="0"/>
        <w:dstrike w:val="0"/>
        <w:color w:val="000000"/>
        <w:sz w:val="32"/>
        <w:szCs w:val="32"/>
        <w:u w:val="none" w:color="000000"/>
        <w:bdr w:val="none" w:sz="0" w:space="0" w:color="auto"/>
        <w:shd w:val="clear" w:color="auto" w:fill="auto"/>
        <w:vertAlign w:val="baseline"/>
      </w:rPr>
    </w:lvl>
    <w:lvl w:ilvl="4" w:tplc="99802F2C">
      <w:start w:val="1"/>
      <w:numFmt w:val="lowerLetter"/>
      <w:lvlText w:val="%5"/>
      <w:lvlJc w:val="left"/>
      <w:pPr>
        <w:ind w:left="3881"/>
      </w:pPr>
      <w:rPr>
        <w:rFonts w:ascii="仿宋_GB2312" w:eastAsia="仿宋_GB2312" w:hAnsi="仿宋_GB2312" w:cs="仿宋_GB2312"/>
        <w:b w:val="0"/>
        <w:i w:val="0"/>
        <w:strike w:val="0"/>
        <w:dstrike w:val="0"/>
        <w:color w:val="000000"/>
        <w:sz w:val="32"/>
        <w:szCs w:val="32"/>
        <w:u w:val="none" w:color="000000"/>
        <w:bdr w:val="none" w:sz="0" w:space="0" w:color="auto"/>
        <w:shd w:val="clear" w:color="auto" w:fill="auto"/>
        <w:vertAlign w:val="baseline"/>
      </w:rPr>
    </w:lvl>
    <w:lvl w:ilvl="5" w:tplc="0C72E9AE">
      <w:start w:val="1"/>
      <w:numFmt w:val="lowerRoman"/>
      <w:lvlText w:val="%6"/>
      <w:lvlJc w:val="left"/>
      <w:pPr>
        <w:ind w:left="4601"/>
      </w:pPr>
      <w:rPr>
        <w:rFonts w:ascii="仿宋_GB2312" w:eastAsia="仿宋_GB2312" w:hAnsi="仿宋_GB2312" w:cs="仿宋_GB2312"/>
        <w:b w:val="0"/>
        <w:i w:val="0"/>
        <w:strike w:val="0"/>
        <w:dstrike w:val="0"/>
        <w:color w:val="000000"/>
        <w:sz w:val="32"/>
        <w:szCs w:val="32"/>
        <w:u w:val="none" w:color="000000"/>
        <w:bdr w:val="none" w:sz="0" w:space="0" w:color="auto"/>
        <w:shd w:val="clear" w:color="auto" w:fill="auto"/>
        <w:vertAlign w:val="baseline"/>
      </w:rPr>
    </w:lvl>
    <w:lvl w:ilvl="6" w:tplc="55E82480">
      <w:start w:val="1"/>
      <w:numFmt w:val="decimal"/>
      <w:lvlText w:val="%7"/>
      <w:lvlJc w:val="left"/>
      <w:pPr>
        <w:ind w:left="5321"/>
      </w:pPr>
      <w:rPr>
        <w:rFonts w:ascii="仿宋_GB2312" w:eastAsia="仿宋_GB2312" w:hAnsi="仿宋_GB2312" w:cs="仿宋_GB2312"/>
        <w:b w:val="0"/>
        <w:i w:val="0"/>
        <w:strike w:val="0"/>
        <w:dstrike w:val="0"/>
        <w:color w:val="000000"/>
        <w:sz w:val="32"/>
        <w:szCs w:val="32"/>
        <w:u w:val="none" w:color="000000"/>
        <w:bdr w:val="none" w:sz="0" w:space="0" w:color="auto"/>
        <w:shd w:val="clear" w:color="auto" w:fill="auto"/>
        <w:vertAlign w:val="baseline"/>
      </w:rPr>
    </w:lvl>
    <w:lvl w:ilvl="7" w:tplc="A086ADDE">
      <w:start w:val="1"/>
      <w:numFmt w:val="lowerLetter"/>
      <w:lvlText w:val="%8"/>
      <w:lvlJc w:val="left"/>
      <w:pPr>
        <w:ind w:left="6041"/>
      </w:pPr>
      <w:rPr>
        <w:rFonts w:ascii="仿宋_GB2312" w:eastAsia="仿宋_GB2312" w:hAnsi="仿宋_GB2312" w:cs="仿宋_GB2312"/>
        <w:b w:val="0"/>
        <w:i w:val="0"/>
        <w:strike w:val="0"/>
        <w:dstrike w:val="0"/>
        <w:color w:val="000000"/>
        <w:sz w:val="32"/>
        <w:szCs w:val="32"/>
        <w:u w:val="none" w:color="000000"/>
        <w:bdr w:val="none" w:sz="0" w:space="0" w:color="auto"/>
        <w:shd w:val="clear" w:color="auto" w:fill="auto"/>
        <w:vertAlign w:val="baseline"/>
      </w:rPr>
    </w:lvl>
    <w:lvl w:ilvl="8" w:tplc="D1C28E4A">
      <w:start w:val="1"/>
      <w:numFmt w:val="lowerRoman"/>
      <w:lvlText w:val="%9"/>
      <w:lvlJc w:val="left"/>
      <w:pPr>
        <w:ind w:left="6761"/>
      </w:pPr>
      <w:rPr>
        <w:rFonts w:ascii="仿宋_GB2312" w:eastAsia="仿宋_GB2312" w:hAnsi="仿宋_GB2312" w:cs="仿宋_GB2312"/>
        <w:b w:val="0"/>
        <w:i w:val="0"/>
        <w:strike w:val="0"/>
        <w:dstrike w:val="0"/>
        <w:color w:val="000000"/>
        <w:sz w:val="32"/>
        <w:szCs w:val="32"/>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73AC1"/>
    <w:rsid w:val="00273AC1"/>
    <w:rsid w:val="005D18D5"/>
    <w:rsid w:val="00806DEF"/>
    <w:rsid w:val="00A35581"/>
    <w:rsid w:val="00A56D71"/>
    <w:rsid w:val="00C50390"/>
    <w:rsid w:val="00CD2BA6"/>
    <w:rsid w:val="00DD1633"/>
    <w:rsid w:val="00F37A9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05AA4"/>
  <w15:chartTrackingRefBased/>
  <w15:docId w15:val="{9A725541-BD70-4799-B1AF-42328C5B9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6DEF"/>
    <w:pPr>
      <w:widowControl w:val="0"/>
      <w:jc w:val="both"/>
    </w:pPr>
  </w:style>
  <w:style w:type="paragraph" w:styleId="1">
    <w:name w:val="heading 1"/>
    <w:next w:val="a"/>
    <w:link w:val="10"/>
    <w:uiPriority w:val="9"/>
    <w:unhideWhenUsed/>
    <w:qFormat/>
    <w:rsid w:val="00DD1633"/>
    <w:pPr>
      <w:keepNext/>
      <w:keepLines/>
      <w:spacing w:line="259" w:lineRule="auto"/>
      <w:ind w:left="27"/>
      <w:jc w:val="center"/>
      <w:outlineLvl w:val="0"/>
    </w:pPr>
    <w:rPr>
      <w:rFonts w:ascii="微软雅黑" w:eastAsia="微软雅黑" w:hAnsi="微软雅黑" w:cs="微软雅黑"/>
      <w:color w:val="000000"/>
      <w:sz w:val="44"/>
    </w:rPr>
  </w:style>
  <w:style w:type="paragraph" w:styleId="2">
    <w:name w:val="heading 2"/>
    <w:next w:val="a"/>
    <w:link w:val="20"/>
    <w:uiPriority w:val="9"/>
    <w:unhideWhenUsed/>
    <w:qFormat/>
    <w:rsid w:val="00DD1633"/>
    <w:pPr>
      <w:keepNext/>
      <w:keepLines/>
      <w:spacing w:after="323" w:line="259" w:lineRule="auto"/>
      <w:ind w:left="3421" w:right="3222" w:hanging="10"/>
      <w:jc w:val="center"/>
      <w:outlineLvl w:val="1"/>
    </w:pPr>
    <w:rPr>
      <w:rFonts w:ascii="SimSun-PUA" w:eastAsia="SimSun-PUA" w:hAnsi="SimSun-PUA" w:cs="SimSun-PUA"/>
      <w:color w:val="00000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D1633"/>
    <w:rPr>
      <w:rFonts w:ascii="微软雅黑" w:eastAsia="微软雅黑" w:hAnsi="微软雅黑" w:cs="微软雅黑"/>
      <w:color w:val="000000"/>
      <w:sz w:val="44"/>
    </w:rPr>
  </w:style>
  <w:style w:type="character" w:customStyle="1" w:styleId="20">
    <w:name w:val="标题 2 字符"/>
    <w:basedOn w:val="a0"/>
    <w:link w:val="2"/>
    <w:uiPriority w:val="9"/>
    <w:rsid w:val="00DD1633"/>
    <w:rPr>
      <w:rFonts w:ascii="SimSun-PUA" w:eastAsia="SimSun-PUA" w:hAnsi="SimSun-PUA" w:cs="SimSun-PUA"/>
      <w:color w:val="000000"/>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6</Pages>
  <Words>371</Words>
  <Characters>2118</Characters>
  <Application>Microsoft Office Word</Application>
  <DocSecurity>0</DocSecurity>
  <Lines>17</Lines>
  <Paragraphs>4</Paragraphs>
  <ScaleCrop>false</ScaleCrop>
  <Company/>
  <LinksUpToDate>false</LinksUpToDate>
  <CharactersWithSpaces>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dc:creator>
  <cp:keywords/>
  <dc:description/>
  <cp:lastModifiedBy>nan</cp:lastModifiedBy>
  <cp:revision>6</cp:revision>
  <dcterms:created xsi:type="dcterms:W3CDTF">2017-10-19T00:47:00Z</dcterms:created>
  <dcterms:modified xsi:type="dcterms:W3CDTF">2017-10-19T02:29:00Z</dcterms:modified>
</cp:coreProperties>
</file>